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Impact</w:t>
      </w:r>
      <w:r>
        <w:t xml:space="preserve"> </w:t>
      </w:r>
      <w:r>
        <w:t xml:space="preserve">Assessment</w:t>
      </w:r>
      <w:r>
        <w:t xml:space="preserve"> </w:t>
      </w:r>
      <w:r>
        <w:t xml:space="preserve">in</w:t>
      </w:r>
      <w:r>
        <w:t xml:space="preserve"> </w:t>
      </w:r>
      <w:r>
        <w:t xml:space="preserve">Kazakhstan</w:t>
      </w:r>
      <w:r>
        <w:t xml:space="preserve"> </w:t>
      </w:r>
      <w:r>
        <w:t xml:space="preserve">Almaty</w:t>
      </w:r>
    </w:p>
    <w:bookmarkStart w:id="31" w:name="X0305bfb0dbd1001e80b21df1c923e70a63d1394"/>
    <w:p>
      <w:pPr>
        <w:pStyle w:val="Heading1"/>
      </w:pPr>
      <w:r>
        <w:t xml:space="preserve">Research Proposal: Assessing the Socio-Economic Impact of the Mason Initiative in Almaty, Kazakhstan</w:t>
      </w:r>
    </w:p>
    <w:bookmarkStart w:id="20" w:name="introduction"/>
    <w:p>
      <w:pPr>
        <w:pStyle w:val="Heading2"/>
      </w:pPr>
      <w:r>
        <w:t xml:space="preserve">1. Introduction</w:t>
      </w:r>
    </w:p>
    <w:p>
      <w:pPr>
        <w:pStyle w:val="FirstParagraph"/>
      </w:pPr>
      <w:r>
        <w:t xml:space="preserve">This research proposal outlines a comprehensive study examining the Mason Initiative—a pioneering community development program based in Almaty, Kazakhstan. The initiative focuses on empowering marginalized urban populations through vocational training in traditional and modern masonry techniques, combined with sustainable construction practices. As Kazakhstan accelerates its urbanization under the "Nurly Zhol" economic strategy, Almaty—its former capital and current commercial hub—faces critical challenges in housing infrastructure and youth employment. The Mason Initiative represents a unique local response to these challenges, making it an ideal subject for rigorous academic investigation within Kazakhstan's socio-economic context.</w:t>
      </w:r>
    </w:p>
    <w:p>
      <w:pPr>
        <w:pStyle w:val="BodyText"/>
      </w:pPr>
      <w:r>
        <w:t xml:space="preserve">With over 2 million residents and rapid urban expansion, Almaty requires innovative approaches to address its construction sector labor shortages while promoting inclusive growth. The Mason Initiative has demonstrated promising results in training 1,200+ individuals since 2019, yet lacks systematic evaluation of its long-term impact on community resilience and economic mobility. This study seeks to fill that gap through evidence-based analysis directly applicable to Kazakhstan's national development goals.</w:t>
      </w:r>
    </w:p>
    <w:bookmarkEnd w:id="20"/>
    <w:bookmarkStart w:id="21" w:name="problem-statement"/>
    <w:p>
      <w:pPr>
        <w:pStyle w:val="Heading2"/>
      </w:pPr>
      <w:r>
        <w:t xml:space="preserve">2. Problem Statement</w:t>
      </w:r>
    </w:p>
    <w:p>
      <w:pPr>
        <w:pStyle w:val="FirstParagraph"/>
      </w:pPr>
      <w:r>
        <w:t xml:space="preserve">Kazakhstan's construction sector contributes 10% to national GDP but suffers from severe workforce shortages, particularly in skilled masonry roles (World Bank, 2023). In Almaty, these gaps exacerbate housing deficits—over 50,000 families await subsidized housing—while youth unemployment remains at 8.7% (Central Bank of Kazakhstan, 2024). Traditional vocational programs fail to integrate cultural preservation with modern techniques, creating a disconnect between training and market needs. The Mason Initiative emerged as a localized solution but operates without comprehensive impact data, limiting its scalability across Kazakhstan's regions.</w:t>
      </w:r>
    </w:p>
    <w:p>
      <w:pPr>
        <w:pStyle w:val="BodyText"/>
      </w:pPr>
      <w:r>
        <w:t xml:space="preserve">This research addresses two critical gaps: (1) absence of empirical evidence on how culturally-grounded vocational programs affect social mobility in post-Soviet urban settings, and (2) lack of adaptation frameworks for construction training initiatives within Kazakhstan's unique regulatory and economic landscape. Without such analysis, Almaty's efforts to leverage its skilled labor potential remain fragmented.</w:t>
      </w:r>
    </w:p>
    <w:bookmarkEnd w:id="21"/>
    <w:bookmarkStart w:id="22" w:name="research-objectives"/>
    <w:p>
      <w:pPr>
        <w:pStyle w:val="Heading2"/>
      </w:pPr>
      <w:r>
        <w:t xml:space="preserve">3. Research Objectives</w:t>
      </w:r>
    </w:p>
    <w:p>
      <w:pPr>
        <w:pStyle w:val="FirstParagraph"/>
      </w:pPr>
      <w:r>
        <w:t xml:space="preserve">The primary aim of this study is to evaluate the Mason Initiative's effectiveness in enhancing socio-economic outcomes for participants in Almaty. Specific objectives include:</w:t>
      </w:r>
    </w:p>
    <w:p>
      <w:pPr>
        <w:numPr>
          <w:ilvl w:val="0"/>
          <w:numId w:val="1001"/>
        </w:numPr>
        <w:pStyle w:val="Compact"/>
      </w:pPr>
      <w:r>
        <w:rPr>
          <w:bCs/>
          <w:b/>
        </w:rPr>
        <w:t xml:space="preserve">Assess impact metrics:</w:t>
      </w:r>
      <w:r>
        <w:t xml:space="preserve"> </w:t>
      </w:r>
      <w:r>
        <w:t xml:space="preserve">Quantify changes in income levels, employment stability, and housing access among Mason graduates versus non-participants over a 3-year period.</w:t>
      </w:r>
    </w:p>
    <w:p>
      <w:pPr>
        <w:numPr>
          <w:ilvl w:val="0"/>
          <w:numId w:val="1001"/>
        </w:numPr>
        <w:pStyle w:val="Compact"/>
      </w:pPr>
      <w:r>
        <w:rPr>
          <w:bCs/>
          <w:b/>
        </w:rPr>
        <w:t xml:space="preserve">Analyze cultural integration:</w:t>
      </w:r>
      <w:r>
        <w:t xml:space="preserve"> </w:t>
      </w:r>
      <w:r>
        <w:t xml:space="preserve">Examine how the initiative's blending of Kazakh traditional masonry (e.g., "koshkar" techniques) with modern sustainable building methods influences participant pride and marketability.</w:t>
      </w:r>
    </w:p>
    <w:p>
      <w:pPr>
        <w:numPr>
          <w:ilvl w:val="0"/>
          <w:numId w:val="1001"/>
        </w:numPr>
        <w:pStyle w:val="Compact"/>
      </w:pPr>
      <w:r>
        <w:rPr>
          <w:bCs/>
          <w:b/>
        </w:rPr>
        <w:t xml:space="preserve">Develop scalability framework:</w:t>
      </w:r>
      <w:r>
        <w:t xml:space="preserve"> </w:t>
      </w:r>
      <w:r>
        <w:t xml:space="preserve">Create a transferable model for replicating Mason's approach in other Kazakhstan cities, considering Almaty's specific urban policies like the "Almaty City Development Concept 2035."</w:t>
      </w:r>
    </w:p>
    <w:bookmarkEnd w:id="22"/>
    <w:bookmarkStart w:id="23" w:name="literature-review"/>
    <w:p>
      <w:pPr>
        <w:pStyle w:val="Heading2"/>
      </w:pPr>
      <w:r>
        <w:t xml:space="preserve">4. Literature Review</w:t>
      </w:r>
    </w:p>
    <w:p>
      <w:pPr>
        <w:pStyle w:val="FirstParagraph"/>
      </w:pPr>
      <w:r>
        <w:t xml:space="preserve">Existing studies on vocational training in Central Asia (e.g., OECD, 2021) emphasize technical skill development but neglect cultural contextualization—a critical oversight for initiatives like Mason in Kazakhstan. Research by Akhmetova (2023) notes that culturally relevant programs increase retention rates by 40% among Kyrgyzstan's youth, yet no studies apply this to masonry in Kazakh urban settings. Similarly, World Bank reports on Kazakhstan's "Green Construction" strategy highlight demand for eco-friendly building skills but lack data on grassroots implementation.</w:t>
      </w:r>
    </w:p>
    <w:p>
      <w:pPr>
        <w:pStyle w:val="BodyText"/>
      </w:pPr>
      <w:r>
        <w:t xml:space="preserve">Crucially, the Mason Initiative represents a rare case where indigenous knowledge meets modern economic demands—a paradigm not yet assessed in post-Soviet contexts. This study will bridge this theoretical gap while providing actionable insights for Kazakhstan's "Digital Kazakhstan" and "Green Economy" national strategies.</w:t>
      </w:r>
    </w:p>
    <w:bookmarkEnd w:id="23"/>
    <w:bookmarkStart w:id="27" w:name="methodology"/>
    <w:p>
      <w:pPr>
        <w:pStyle w:val="Heading2"/>
      </w:pPr>
      <w:r>
        <w:t xml:space="preserve">5. Methodology</w:t>
      </w:r>
    </w:p>
    <w:p>
      <w:pPr>
        <w:pStyle w:val="FirstParagraph"/>
      </w:pPr>
      <w:r>
        <w:t xml:space="preserve">This mixed-methods study will employ a 16-month design conducted across Almaty's districts with high Mason Initiative participation (Auezov, Kazakh, and Alatau). The methodology includes:</w:t>
      </w:r>
    </w:p>
    <w:bookmarkStart w:id="24" w:name="X713b6d276cbf058e5f0708b5b831f1804cab3a9"/>
    <w:p>
      <w:pPr>
        <w:pStyle w:val="Heading3"/>
      </w:pPr>
      <w:r>
        <w:t xml:space="preserve">Phase 1: Quantitative Assessment (Months 1-6)</w:t>
      </w:r>
    </w:p>
    <w:p>
      <w:pPr>
        <w:pStyle w:val="FirstParagraph"/>
      </w:pPr>
      <w:r>
        <w:t xml:space="preserve">A stratified random sample of 400 participants (200 Mason graduates, 200 non-participants) will be surveyed on income trajectories, employment sectors, and housing status. Data will be triangulated with Almaty municipal labor databases and Mason's internal records.</w:t>
      </w:r>
    </w:p>
    <w:bookmarkEnd w:id="24"/>
    <w:bookmarkStart w:id="25" w:name="X77e1fbfc1b7c5320fcc897f9f43364e99825cf8"/>
    <w:p>
      <w:pPr>
        <w:pStyle w:val="Heading3"/>
      </w:pPr>
      <w:r>
        <w:t xml:space="preserve">Phase 2: Qualitative Deep Dive (Months 7-12)</w:t>
      </w:r>
    </w:p>
    <w:p>
      <w:pPr>
        <w:pStyle w:val="FirstParagraph"/>
      </w:pPr>
      <w:r>
        <w:t xml:space="preserve">Focus groups (n=40) with graduates and community leaders will explore cultural impacts. Participant observation at Mason training sites will document skill application in real projects, including a case study of the "Saryarka Housing Complex" where Mason-trained workers contributed to 15% of units.</w:t>
      </w:r>
    </w:p>
    <w:bookmarkEnd w:id="25"/>
    <w:bookmarkStart w:id="26" w:name="phase-3-policy-integration-months-13-16"/>
    <w:p>
      <w:pPr>
        <w:pStyle w:val="Heading3"/>
      </w:pPr>
      <w:r>
        <w:t xml:space="preserve">Phase 3: Policy Integration (Months 13-16)</w:t>
      </w:r>
    </w:p>
    <w:p>
      <w:pPr>
        <w:pStyle w:val="FirstParagraph"/>
      </w:pPr>
      <w:r>
        <w:t xml:space="preserve">Workshops with Almaty's Department of Construction and Kazakhstan's Ministry of Labor will co-develop the scalability framework, ensuring alignment with national policies like "Qazaqstan-2050".</w:t>
      </w:r>
    </w:p>
    <w:p>
      <w:pPr>
        <w:pStyle w:val="BodyText"/>
      </w:pPr>
      <w:r>
        <w:t xml:space="preserve">Ethical compliance will follow Kazakhstani standards (Order No. 143, 2019), with GDPR-equivalent consent protocols for data collection. All analysis will be conducted using SPSS for statistics and NVivo for thematic coding.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is expected to deliver three transformative outcomes:</w:t>
      </w:r>
    </w:p>
    <w:p>
      <w:pPr>
        <w:numPr>
          <w:ilvl w:val="0"/>
          <w:numId w:val="1002"/>
        </w:numPr>
        <w:pStyle w:val="Compact"/>
      </w:pPr>
      <w:r>
        <w:rPr>
          <w:bCs/>
          <w:b/>
        </w:rPr>
        <w:t xml:space="preserve">Evidence-based validation:</w:t>
      </w:r>
      <w:r>
        <w:t xml:space="preserve"> </w:t>
      </w:r>
      <w:r>
        <w:t xml:space="preserve">A quantifiable link between Mason's training model and increased median income (projected 30% rise) for graduates, directly supporting Kazakhstan's "Economic Diversification" goals.</w:t>
      </w:r>
    </w:p>
    <w:p>
      <w:pPr>
        <w:numPr>
          <w:ilvl w:val="0"/>
          <w:numId w:val="1002"/>
        </w:numPr>
        <w:pStyle w:val="Compact"/>
      </w:pPr>
      <w:r>
        <w:rPr>
          <w:bCs/>
          <w:b/>
        </w:rPr>
        <w:t xml:space="preserve">Cultural preservation roadmap:</w:t>
      </w:r>
      <w:r>
        <w:t xml:space="preserve"> </w:t>
      </w:r>
      <w:r>
        <w:t xml:space="preserve">Documentation of how integrating Kazakh masonry heritage into vocational training enhances social cohesion—a critical factor in Kazakhstan's multi-ethnic urban centers like Almaty.</w:t>
      </w:r>
    </w:p>
    <w:p>
      <w:pPr>
        <w:numPr>
          <w:ilvl w:val="0"/>
          <w:numId w:val="1002"/>
        </w:numPr>
        <w:pStyle w:val="Compact"/>
      </w:pPr>
      <w:r>
        <w:rPr>
          <w:bCs/>
          <w:b/>
        </w:rPr>
        <w:t xml:space="preserve">National implementation blueprint:</w:t>
      </w:r>
      <w:r>
        <w:t xml:space="preserve"> </w:t>
      </w:r>
      <w:r>
        <w:t xml:space="preserve">A modular framework for scaling the Mason approach to other cities, including cost-benefit analyses tailored to Kazakhstan's regional economic disparities.</w:t>
      </w:r>
    </w:p>
    <w:p>
      <w:pPr>
        <w:pStyle w:val="FirstParagraph"/>
      </w:pPr>
      <w:r>
        <w:t xml:space="preserve">The findings will directly inform Almaty's urban development strategy and Kazakhstan's "Sustainable Cities" national program. By demonstrating how localized initiatives can drive both cultural preservation and economic growth, this study positions Mason not merely as a training provider but as a catalyst for resilient community development in post-Soviet cities.</w:t>
      </w:r>
    </w:p>
    <w:bookmarkEnd w:id="28"/>
    <w:bookmarkStart w:id="29" w:name="timeline-budget"/>
    <w:p>
      <w:pPr>
        <w:pStyle w:val="Heading2"/>
      </w:pPr>
      <w:r>
        <w:t xml:space="preserve">7. Timeline &amp; Budget</w:t>
      </w:r>
    </w:p>
    <w:p>
      <w:pPr>
        <w:pStyle w:val="FirstParagraph"/>
      </w:pPr>
      <w:r>
        <w:t xml:space="preserve">A 16-month timeline is proposed, with key milestones: literature review (Month 1), data collection (Months 2-8), analysis (Months 9-14), and policy dissemination (Months 15-16). The total budget request of $75,000 covers personnel ($45k), fieldwork logistics ($20k), and stakeholder workshops ($10k) through Kazakhstan's Research Council.</w:t>
      </w:r>
    </w:p>
    <w:p>
      <w:pPr>
        <w:pStyle w:val="BodyText"/>
      </w:pPr>
      <w:r>
        <w:t xml:space="preserve">Collaboration with Almaty Technical University and the Center for Urban Studies will ensure academic rigor while guaranteeing local relevance. All deliverables—including an open-access digital repository of Mason training modules—will be shared with Kazakhstani government bodies to maximize societal impact.</w:t>
      </w:r>
    </w:p>
    <w:bookmarkEnd w:id="29"/>
    <w:bookmarkStart w:id="30" w:name="conclusion"/>
    <w:p>
      <w:pPr>
        <w:pStyle w:val="Heading2"/>
      </w:pPr>
      <w:r>
        <w:t xml:space="preserve">8. Conclusion</w:t>
      </w:r>
    </w:p>
    <w:p>
      <w:pPr>
        <w:pStyle w:val="FirstParagraph"/>
      </w:pPr>
      <w:r>
        <w:t xml:space="preserve">In Kazakhstan's rapidly evolving urban landscape, the Mason Initiative exemplifies how grassroots innovation can address systemic challenges through culturally intelligent solutions. This research proposal establishes a rigorous pathway to validate and scale this model within Almaty, directly supporting Kazakhstan's national vision for sustainable, inclusive growth. By centering the Mason Initiative in our analysis, we move beyond theoretical frameworks to deliver actionable strategies that empower communities while preserving Kazakhstan's architectural heritage. The success of this study will set a precedent for similar initiatives across Central Asia and beyond.</w:t>
      </w:r>
    </w:p>
    <w:bookmarkEnd w:id="30"/>
    <w:p>
      <w:pPr>
        <w:pStyle w:val="BodyText"/>
      </w:pPr>
      <w:r>
        <w:rPr>
          <w:iCs/>
          <w:i/>
        </w:rPr>
        <w:t xml:space="preserve">This Research Proposal is submitted to the Kazakh National Science Foundation for consideration under Grant Program #KNSF-2024-MASON-ALMATY. All data collection will comply with Kazakhstan's Law on Scientific Activity (No. 95-V, 2018).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Impact Assessment in Kazakhstan Almaty</dc:title>
  <dc:creator/>
  <dc:language>en</dc:language>
  <cp:keywords/>
  <dcterms:created xsi:type="dcterms:W3CDTF">2026-07-23T02:05:25Z</dcterms:created>
  <dcterms:modified xsi:type="dcterms:W3CDTF">2026-07-23T02:05:25Z</dcterms:modified>
</cp:coreProperties>
</file>

<file path=docProps/custom.xml><?xml version="1.0" encoding="utf-8"?>
<Properties xmlns="http://schemas.openxmlformats.org/officeDocument/2006/custom-properties" xmlns:vt="http://schemas.openxmlformats.org/officeDocument/2006/docPropsVTypes"/>
</file>