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Masons</w:t>
      </w:r>
      <w:r>
        <w:t xml:space="preserve"> </w:t>
      </w:r>
      <w:r>
        <w:t xml:space="preserve">in</w:t>
      </w:r>
      <w:r>
        <w:t xml:space="preserve"> </w:t>
      </w:r>
      <w:r>
        <w:t xml:space="preserve">Construction</w:t>
      </w:r>
      <w:r>
        <w:t xml:space="preserve"> </w:t>
      </w:r>
      <w:r>
        <w:t xml:space="preserve">Development</w:t>
      </w:r>
      <w:r>
        <w:t xml:space="preserve"> </w:t>
      </w:r>
      <w:r>
        <w:t xml:space="preserve">of</w:t>
      </w:r>
      <w:r>
        <w:t xml:space="preserve"> </w:t>
      </w:r>
      <w:r>
        <w:t xml:space="preserve">Kuwait</w:t>
      </w:r>
      <w:r>
        <w:t xml:space="preserve"> </w:t>
      </w:r>
      <w:r>
        <w:t xml:space="preserve">City,</w:t>
      </w:r>
      <w:r>
        <w:t xml:space="preserve"> </w:t>
      </w:r>
      <w:r>
        <w:t xml:space="preserve">Kuwait</w:t>
      </w:r>
    </w:p>
    <w:bookmarkStart w:id="28" w:name="Xcbe79cd241dcb435e659260e7f91add805be77e"/>
    <w:p>
      <w:pPr>
        <w:pStyle w:val="Heading1"/>
      </w:pPr>
      <w:r>
        <w:t xml:space="preserve">Research Proposal: The Critical Role and Future Trajectory of Masons in Urban Construction Development of Kuwait City, Kuwait</w:t>
      </w:r>
    </w:p>
    <w:bookmarkStart w:id="20" w:name="introduction"/>
    <w:p>
      <w:pPr>
        <w:pStyle w:val="Heading2"/>
      </w:pPr>
      <w:r>
        <w:t xml:space="preserve">1. Introduction</w:t>
      </w:r>
    </w:p>
    <w:p>
      <w:pPr>
        <w:pStyle w:val="FirstParagraph"/>
      </w:pPr>
      <w:r>
        <w:t xml:space="preserve">The rapid urbanization and infrastructure expansion in Kuwait City, the capital of the State of Kuwait, has positioned construction as a cornerstone of national economic diversification. Central to this growth is the skilled workforce known as Masons—specialized artisans who shape architectural landscapes through brickwork, stone masonry, and structural finishing. Despite their indispensable role in transforming Kuwait's skyline from traditional wind towers to modern skyscrapers, Masons remain under-researched within the context of Kuwait City's unique socio-economic and environmental framework. This</w:t>
      </w:r>
      <w:r>
        <w:t xml:space="preserve"> </w:t>
      </w:r>
      <w:r>
        <w:rPr>
          <w:bCs/>
          <w:b/>
        </w:rPr>
        <w:t xml:space="preserve">Research Proposal</w:t>
      </w:r>
      <w:r>
        <w:t xml:space="preserve"> </w:t>
      </w:r>
      <w:r>
        <w:t xml:space="preserve">addresses this gap by examining the multifaceted contributions, challenges, and future potential of Masons in sustaining Kuwait City's development agenda. With over 50% of Kuwait's GDP tied to construction-related sectors, understanding Masons' operational dynamics is not merely academic—it is a strategic imperative for national planning.</w:t>
      </w:r>
    </w:p>
    <w:bookmarkEnd w:id="20"/>
    <w:bookmarkStart w:id="21" w:name="problem-statement"/>
    <w:p>
      <w:pPr>
        <w:pStyle w:val="Heading2"/>
      </w:pPr>
      <w:r>
        <w:t xml:space="preserve">2. Problem Statement</w:t>
      </w:r>
    </w:p>
    <w:p>
      <w:pPr>
        <w:pStyle w:val="FirstParagraph"/>
      </w:pPr>
      <w:r>
        <w:t xml:space="preserve">Kuwait City faces a critical paradox: while construction projects surge (e.g., the $100B New Kuwait City Masterplan), Masons—often immigrant laborers from South Asia—encounter systemic barriers including inadequate safety protocols, wage disputes, and skill mismatches. Current industry reports indicate that masonry-related delays account for 23% of project overruns in Kuwait City (Kuwait Ministry of Public Works, 2023). Crucially, no comprehensive study has analyzed how these challenges directly impact the city's adherence to Vision 2035 goals. This research bridges the void by centering Masons' lived experiences within Kuwait City’s urban fabric. Ignoring their plight risks exacerbating project inefficiencies and compromising the quality of infrastructure vital for Kuwait’s sustainable future.</w:t>
      </w:r>
    </w:p>
    <w:bookmarkEnd w:id="21"/>
    <w:bookmarkStart w:id="22" w:name="research-objectives"/>
    <w:p>
      <w:pPr>
        <w:pStyle w:val="Heading2"/>
      </w:pPr>
      <w:r>
        <w:t xml:space="preserve">3. Research Objectives</w:t>
      </w:r>
    </w:p>
    <w:p>
      <w:pPr>
        <w:numPr>
          <w:ilvl w:val="0"/>
          <w:numId w:val="1001"/>
        </w:numPr>
        <w:pStyle w:val="Compact"/>
      </w:pPr>
      <w:r>
        <w:t xml:space="preserve">To document the demographic, skill, and employment patterns of Masons operating in Kuwait City construction sites (2019–2024).</w:t>
      </w:r>
    </w:p>
    <w:p>
      <w:pPr>
        <w:numPr>
          <w:ilvl w:val="0"/>
          <w:numId w:val="1001"/>
        </w:numPr>
        <w:pStyle w:val="Compact"/>
      </w:pPr>
      <w:r>
        <w:t xml:space="preserve">To identify environmental and regulatory obstacles (e.g., extreme heat, visa restrictions) impeding Mason productivity in Kuwait City.</w:t>
      </w:r>
    </w:p>
    <w:p>
      <w:pPr>
        <w:numPr>
          <w:ilvl w:val="0"/>
          <w:numId w:val="1001"/>
        </w:numPr>
        <w:pStyle w:val="Compact"/>
      </w:pPr>
      <w:r>
        <w:t xml:space="preserve">To assess how modernization trends (e.g., prefabrication adoption) affect traditional masonry roles in Kuwait City.</w:t>
      </w:r>
    </w:p>
    <w:p>
      <w:pPr>
        <w:numPr>
          <w:ilvl w:val="0"/>
          <w:numId w:val="1001"/>
        </w:numPr>
        <w:pStyle w:val="Compact"/>
      </w:pPr>
      <w:r>
        <w:t xml:space="preserve">To develop a culturally nuanced framework for enhancing Mason welfare and productivity aligned with Kuwaiti labor policies.</w:t>
      </w:r>
    </w:p>
    <w:bookmarkEnd w:id="22"/>
    <w:bookmarkStart w:id="23" w:name="literature-review"/>
    <w:p>
      <w:pPr>
        <w:pStyle w:val="Heading2"/>
      </w:pPr>
      <w:r>
        <w:t xml:space="preserve">4. Literature Review</w:t>
      </w:r>
    </w:p>
    <w:p>
      <w:pPr>
        <w:pStyle w:val="FirstParagraph"/>
      </w:pPr>
      <w:r>
        <w:t xml:space="preserve">Existing scholarship on Gulf construction labor focuses predominantly on migrant worker rights (e.g., Al-Ajmi, 2021), yet neglects trade-specific analyses of Masons. Studies in Dubai (Al-Suwaidi, 2020) reveal masonry skill shortages drive up costs by 18%, but Kuwait City’s distinct climate—averaging 45°C in summer—and its reliance on traditional stone masonry for heritage projects create unique pressures. Notably, Kuwait’s National Housing Strategy (2019) emphasizes "quality craftsmanship" yet lacks actionable guidelines for Mason skill development. This proposal synthesizes global masonry best practices with Kuwait-specific data to address this oversight.</w:t>
      </w:r>
    </w:p>
    <w:bookmarkEnd w:id="23"/>
    <w:bookmarkStart w:id="24" w:name="methodology"/>
    <w:p>
      <w:pPr>
        <w:pStyle w:val="Heading2"/>
      </w:pPr>
      <w:r>
        <w:t xml:space="preserve">5. Methodology</w:t>
      </w:r>
    </w:p>
    <w:p>
      <w:pPr>
        <w:pStyle w:val="FirstParagraph"/>
      </w:pPr>
      <w:r>
        <w:t xml:space="preserve">This mixed-methods study will deploy three interconnected approaches across 15 major construction sites in Kuwait City:</w:t>
      </w:r>
    </w:p>
    <w:p>
      <w:pPr>
        <w:numPr>
          <w:ilvl w:val="0"/>
          <w:numId w:val="1002"/>
        </w:numPr>
        <w:pStyle w:val="Compact"/>
      </w:pPr>
      <w:r>
        <w:rPr>
          <w:bCs/>
          <w:b/>
        </w:rPr>
        <w:t xml:space="preserve">Quantitative Surveys:</w:t>
      </w:r>
      <w:r>
        <w:t xml:space="preserve"> </w:t>
      </w:r>
      <w:r>
        <w:t xml:space="preserve">Structured questionnaires targeting 300 Masons (stratified by nationality, experience, and project type) to measure productivity metrics, safety incidents, and job satisfaction.</w:t>
      </w:r>
    </w:p>
    <w:p>
      <w:pPr>
        <w:numPr>
          <w:ilvl w:val="0"/>
          <w:numId w:val="1002"/>
        </w:numPr>
        <w:pStyle w:val="Compact"/>
      </w:pPr>
      <w:r>
        <w:rPr>
          <w:bCs/>
          <w:b/>
        </w:rPr>
        <w:t xml:space="preserve">Qualitative Fieldwork:</w:t>
      </w:r>
      <w:r>
        <w:t xml:space="preserve"> </w:t>
      </w:r>
      <w:r>
        <w:t xml:space="preserve">Semi-structured interviews with 25 contractors (e.g., Al-Sabah Construction), 15 Kuwaiti labor supervisors, and focus groups with Masons from India and Nepal to capture on-ground challenges.</w:t>
      </w:r>
    </w:p>
    <w:p>
      <w:pPr>
        <w:numPr>
          <w:ilvl w:val="0"/>
          <w:numId w:val="1002"/>
        </w:numPr>
        <w:pStyle w:val="Compact"/>
      </w:pPr>
      <w:r>
        <w:rPr>
          <w:bCs/>
          <w:b/>
        </w:rPr>
        <w:t xml:space="preserve">Environmental Analysis:</w:t>
      </w:r>
      <w:r>
        <w:t xml:space="preserve"> </w:t>
      </w:r>
      <w:r>
        <w:t xml:space="preserve">GIS mapping of construction sites to correlate heat exposure (using Kuwait City’s meteorological data) with masonry error rates.</w:t>
      </w:r>
    </w:p>
    <w:p>
      <w:pPr>
        <w:pStyle w:val="FirstParagraph"/>
      </w:pPr>
      <w:r>
        <w:t xml:space="preserve">Data collection will align with the Gulf Labour Market Framework, ensuring ethical compliance under Kuwaiti Law No. 17/2023 on migrant workers. Analysis will employ SPSS for statistical modeling and NVivo for thematic coding of qualitative insights.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benchmark report on Mason productivity loss factors in Kuwait City, directly informing the Ministry of Public Works’ 2025 efficiency targets.</w:t>
      </w:r>
    </w:p>
    <w:p>
      <w:pPr>
        <w:numPr>
          <w:ilvl w:val="0"/>
          <w:numId w:val="1003"/>
        </w:numPr>
        <w:pStyle w:val="Compact"/>
      </w:pPr>
      <w:r>
        <w:t xml:space="preserve">A culturally responsive "Mason Support Toolkit" for contractors—featuring heat-stress protocols, skill-upgrading pathways, and conflict-resolution templates aligned with Kuwaiti cultural norms.</w:t>
      </w:r>
    </w:p>
    <w:p>
      <w:pPr>
        <w:numPr>
          <w:ilvl w:val="0"/>
          <w:numId w:val="1003"/>
        </w:numPr>
        <w:pStyle w:val="Compact"/>
      </w:pPr>
      <w:r>
        <w:t xml:space="preserve">Policy recommendations for integrating Masons into Kuwait’s National Training Strategy to reduce foreign labor dependency by 20% (per Vision 2035 goals).</w:t>
      </w:r>
    </w:p>
    <w:p>
      <w:pPr>
        <w:pStyle w:val="FirstParagraph"/>
      </w:pPr>
      <w:r>
        <w:t xml:space="preserve">The significance extends beyond economics: By valuing Masons as knowledge holders rather than mere labor, this study advances Kuwait City’s social sustainability. It challenges the perception of masonry as "unskilled work," positioning it as a catalyst for heritage preservation (e.g., restoring Al-Sabah-era buildings) and green construction (e.g., using locally sourced stone to cut carbon footprints). Ultimately, this</w:t>
      </w:r>
      <w:r>
        <w:t xml:space="preserve"> </w:t>
      </w:r>
      <w:r>
        <w:rPr>
          <w:bCs/>
          <w:b/>
        </w:rPr>
        <w:t xml:space="preserve">Research Proposal</w:t>
      </w:r>
      <w:r>
        <w:t xml:space="preserve"> </w:t>
      </w:r>
      <w:r>
        <w:t xml:space="preserve">positions Masons not just as workers but as strategic assets in Kuwait City’s journey toward resilient urbanism.</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Design (Ethics Approval)</w:t>
            </w:r>
          </w:p>
        </w:tc>
        <w:tc>
          <w:tcPr/>
          <w:p>
            <w:pPr>
              <w:pStyle w:val="Compact"/>
              <w:jc w:val="left"/>
            </w:pPr>
            <w:r>
              <w:t xml:space="preserve">Months 1-2</w:t>
            </w:r>
          </w:p>
        </w:tc>
        <w:tc>
          <w:tcPr/>
          <w:p>
            <w:pPr>
              <w:pStyle w:val="Compact"/>
              <w:jc w:val="left"/>
            </w:pPr>
            <w:r>
              <w:t xml:space="preserve">Preliminary report; IRB clearance from Kuwait University</w:t>
            </w:r>
          </w:p>
        </w:tc>
      </w:tr>
      <w:tr>
        <w:tc>
          <w:tcPr/>
          <w:p>
            <w:pPr>
              <w:pStyle w:val="Compact"/>
              <w:jc w:val="left"/>
            </w:pPr>
            <w:r>
              <w:t xml:space="preserve">Data Collection: Surveys &amp; Interviews</w:t>
            </w:r>
          </w:p>
        </w:tc>
        <w:tc>
          <w:tcPr/>
          <w:p>
            <w:pPr>
              <w:pStyle w:val="Compact"/>
              <w:jc w:val="left"/>
            </w:pPr>
            <w:r>
              <w:t xml:space="preserve">Months 3-7</w:t>
            </w:r>
          </w:p>
        </w:tc>
        <w:tc>
          <w:tcPr/>
          <w:p>
            <w:pPr>
              <w:pStyle w:val="Compact"/>
              <w:jc w:val="left"/>
            </w:pPr>
            <w:r>
              <w:t xml:space="preserve">Survey database; Interview transcripts; GIS heat maps</w:t>
            </w:r>
          </w:p>
        </w:tc>
      </w:tr>
      <w:tr>
        <w:tc>
          <w:tcPr/>
          <w:p>
            <w:pPr>
              <w:pStyle w:val="Compact"/>
              <w:jc w:val="left"/>
            </w:pPr>
            <w:r>
              <w:t xml:space="preserve">Analysis &amp; Toolkit Development</w:t>
            </w:r>
          </w:p>
        </w:tc>
        <w:tc>
          <w:tcPr/>
          <w:p>
            <w:pPr>
              <w:pStyle w:val="Compact"/>
              <w:jc w:val="left"/>
            </w:pPr>
            <w:r>
              <w:t xml:space="preserve">Months 8-10</w:t>
            </w:r>
          </w:p>
        </w:tc>
        <w:tc>
          <w:tcPr/>
          <w:p>
            <w:pPr>
              <w:pStyle w:val="Compact"/>
              <w:jc w:val="left"/>
            </w:pPr>
            <w:r>
              <w:t xml:space="preserve">Mason Support Toolkit; Policy brief for Kuwaiti authorities</w:t>
            </w:r>
          </w:p>
        </w:tc>
      </w:tr>
      <w:tr>
        <w:tc>
          <w:tcPr/>
          <w:p>
            <w:pPr>
              <w:pStyle w:val="Compact"/>
              <w:jc w:val="left"/>
            </w:pPr>
            <w:r>
              <w:t xml:space="preserve">Dissemination &amp; Implementation Plan</w:t>
            </w:r>
          </w:p>
        </w:tc>
        <w:tc>
          <w:tcPr/>
          <w:p>
            <w:pPr>
              <w:pStyle w:val="Compact"/>
              <w:jc w:val="left"/>
            </w:pPr>
            <w:r>
              <w:t xml:space="preserve">Month 11-12</w:t>
            </w:r>
          </w:p>
        </w:tc>
        <w:tc>
          <w:tcPr/>
          <w:p>
            <w:pPr>
              <w:pStyle w:val="Compact"/>
              <w:jc w:val="left"/>
            </w:pPr>
            <w:r>
              <w:t xml:space="preserve">Presentation to Ministry of Public Works; Academic publication</w:t>
            </w:r>
          </w:p>
        </w:tc>
      </w:tr>
    </w:tbl>
    <w:bookmarkEnd w:id="26"/>
    <w:bookmarkStart w:id="27" w:name="conclusion"/>
    <w:p>
      <w:pPr>
        <w:pStyle w:val="Heading2"/>
      </w:pPr>
      <w:r>
        <w:t xml:space="preserve">8. Conclusion</w:t>
      </w:r>
    </w:p>
    <w:p>
      <w:pPr>
        <w:pStyle w:val="FirstParagraph"/>
      </w:pPr>
      <w:r>
        <w:t xml:space="preserve">Kuwait City’s ambition to become a global hub of sustainable urban innovation hinges on optimizing every component of its construction ecosystem—starting with the Masons who physically build its future. This</w:t>
      </w:r>
      <w:r>
        <w:t xml:space="preserve"> </w:t>
      </w:r>
      <w:r>
        <w:rPr>
          <w:bCs/>
          <w:b/>
        </w:rPr>
        <w:t xml:space="preserve">Research Proposal</w:t>
      </w:r>
      <w:r>
        <w:t xml:space="preserve"> </w:t>
      </w:r>
      <w:r>
        <w:t xml:space="preserve">transcends academic inquiry by offering actionable solutions tailored to Kuwait’s context, ensuring that Masons are not merely present but empowered as drivers of quality and innovation in Kuwait City. By investing in their welfare and skill development, Kuwait can transform a critical labor segment into a cornerstone of national progress—proving that the most enduring structures begin with the hands that build them.</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Masons in Construction Development of Kuwait City, Kuwait</dc:title>
  <dc:creator/>
  <dc:language>en</dc:language>
  <cp:keywords/>
  <dcterms:created xsi:type="dcterms:W3CDTF">2026-07-23T07:37:12Z</dcterms:created>
  <dcterms:modified xsi:type="dcterms:W3CDTF">2026-07-23T07:37:12Z</dcterms:modified>
</cp:coreProperties>
</file>

<file path=docProps/custom.xml><?xml version="1.0" encoding="utf-8"?>
<Properties xmlns="http://schemas.openxmlformats.org/officeDocument/2006/custom-properties" xmlns:vt="http://schemas.openxmlformats.org/officeDocument/2006/docPropsVTypes"/>
</file>