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Kuala</w:t>
      </w:r>
      <w:r>
        <w:t xml:space="preserve"> </w:t>
      </w:r>
      <w:r>
        <w:t xml:space="preserve">Lumpur</w:t>
      </w:r>
    </w:p>
    <w:bookmarkStart w:id="28" w:name="X45463149cd2694cefb616e30400ccb22fb65d9e"/>
    <w:p>
      <w:pPr>
        <w:pStyle w:val="Heading1"/>
      </w:pPr>
      <w:r>
        <w:t xml:space="preserve">Research Proposal: Mason Initiative for Sustainable Urban Development in Kuala Lumpur</w:t>
      </w:r>
    </w:p>
    <w:p>
      <w:pPr>
        <w:pStyle w:val="FirstParagraph"/>
      </w:pPr>
      <w:r>
        <w:rPr>
          <w:bCs/>
          <w:b/>
        </w:rPr>
        <w:t xml:space="preserve">Prepared for:</w:t>
      </w:r>
      <w:r>
        <w:t xml:space="preserve"> </w:t>
      </w:r>
      <w:r>
        <w:t xml:space="preserve">National Research Council of Malaysia (NRCM) |</w:t>
      </w:r>
      <w:r>
        <w:t xml:space="preserve"> </w:t>
      </w:r>
      <w:r>
        <w:rPr>
          <w:bCs/>
          <w:b/>
        </w:rPr>
        <w:t xml:space="preserve">Date:</w:t>
      </w:r>
      <w:r>
        <w:t xml:space="preserve"> </w:t>
      </w:r>
      <w:r>
        <w:t xml:space="preserve">October 26, 2023 |</w:t>
      </w:r>
      <w:r>
        <w:t xml:space="preserve"> </w:t>
      </w:r>
      <w:r>
        <w:rPr>
          <w:bCs/>
          <w:b/>
        </w:rPr>
        <w:t xml:space="preserve">Submitted by:</w:t>
      </w:r>
      <w:r>
        <w:t xml:space="preserve"> </w:t>
      </w:r>
      <w:r>
        <w:t xml:space="preserve">Institute of Urban Sustainability, Universiti Teknologi Malaysia</w:t>
      </w:r>
    </w:p>
    <w:bookmarkStart w:id="20" w:name="Xce3cf10f3d1b2c820dbc9fc95c70d396297c9f0"/>
    <w:p>
      <w:pPr>
        <w:pStyle w:val="Heading2"/>
      </w:pPr>
      <w:r>
        <w:t xml:space="preserve">I. Introduction: The Mason Imperative in Kuala Lumpur's Urban Landscape</w:t>
      </w:r>
    </w:p>
    <w:p>
      <w:pPr>
        <w:pStyle w:val="FirstParagraph"/>
      </w:pPr>
      <w:r>
        <w:t xml:space="preserve">Kuala Lumpur, Malaysia's vibrant capital, faces accelerating urbanization challenges including infrastructure strain, rising carbon emissions, and the urgent need for climate-resilient construction. This research proposes the "Mason Initiative" – a pioneering framework integrating traditional masonry techniques with modern sustainable engineering to address Kuala Lumpur's unique environmental and socio-economic context. The Mason Initiative represents a paradigm shift from conventional concrete-dominated development toward culturally resonant, low-impact urban solutions that honor Malaysia's architectural heritage while meeting 21st-century sustainability goals. This proposal outlines a comprehensive research framework to validate Mason as a scalable model for Kuala Lumpur's municipal planning.</w:t>
      </w:r>
    </w:p>
    <w:bookmarkEnd w:id="20"/>
    <w:bookmarkStart w:id="21" w:name="ii.-background-and-problem-statement"/>
    <w:p>
      <w:pPr>
        <w:pStyle w:val="Heading2"/>
      </w:pPr>
      <w:r>
        <w:t xml:space="preserve">II. Background and Problem Statement</w:t>
      </w:r>
    </w:p>
    <w:p>
      <w:pPr>
        <w:pStyle w:val="FirstParagraph"/>
      </w:pPr>
      <w:r>
        <w:t xml:space="preserve">Kuala Lumpur’s construction sector contributes approximately 35% of the nation’s carbon footprint (Malaysian Green Building Council, 2022). Current development prioritizes speed over sustainability, with concrete usage exceeding 90% of building materials in new projects. This approach exacerbates urban heat island effects (temperatures up to 6°C higher than surrounding areas), water runoff issues, and cultural disconnection from Malaysia’s rich masonry heritage seen in historical structures like the Sultan Abdul Samad Building. The Mason Initiative responds directly to these challenges by proposing a reintegration of time-tested masonry methods – such as clay brickwork, lime plaster, and rubble stone construction – adapted for contemporary Kuala Lumpur conditions.</w:t>
      </w:r>
    </w:p>
    <w:p>
      <w:pPr>
        <w:pStyle w:val="BodyText"/>
      </w:pPr>
      <w:r>
        <w:rPr>
          <w:bCs/>
          <w:b/>
        </w:rPr>
        <w:t xml:space="preserve">Core Problem:</w:t>
      </w:r>
      <w:r>
        <w:t xml:space="preserve"> </w:t>
      </w:r>
      <w:r>
        <w:t xml:space="preserve">Kuala Lumpur’s rapid urbanization lacks culturally appropriate, low-carbon building systems. Traditional masonry techniques are dismissed as "outdated" despite their proven thermal efficiency (reducing cooling loads by 25-30%) and material circularity in tropical climates. This research addresses the critical gap between Malaysia’s sustainable development commitments (e.g., National Energy Transition Roadmap) and on-ground implementation.</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context-specific Mason Framework integrating Malay traditional masonry with modern passive cooling technologies for Kuala Lumpur’s tropical urban environment.</w:t>
      </w:r>
    </w:p>
    <w:p>
      <w:pPr>
        <w:numPr>
          <w:ilvl w:val="0"/>
          <w:numId w:val="1001"/>
        </w:numPr>
        <w:pStyle w:val="Compact"/>
      </w:pPr>
      <w:r>
        <w:t xml:space="preserve">To quantify the environmental benefits (carbon reduction, water conservation) and socio-economic viability (labor opportunities, cost-effectiveness) of the Mason Initiative compared to conventional construction in Kuala Lumpur case studies.</w:t>
      </w:r>
    </w:p>
    <w:p>
      <w:pPr>
        <w:numPr>
          <w:ilvl w:val="0"/>
          <w:numId w:val="1001"/>
        </w:numPr>
        <w:pStyle w:val="Compact"/>
      </w:pPr>
      <w:r>
        <w:t xml:space="preserve">To co-create policy recommendations with KL City Hall and Malaysian Department of Building and Architecture for mainstreaming Mason principles in municipal development regulations.</w:t>
      </w:r>
    </w:p>
    <w:p>
      <w:pPr>
        <w:numPr>
          <w:ilvl w:val="0"/>
          <w:numId w:val="1001"/>
        </w:numPr>
        <w:pStyle w:val="Compact"/>
      </w:pPr>
      <w:r>
        <w:t xml:space="preserve">To establish a training module for mason artisans (masyarakat kampung) to preserve traditional skills while adapting them to modern sustainable standards.</w:t>
      </w:r>
    </w:p>
    <w:bookmarkEnd w:id="22"/>
    <w:bookmarkStart w:id="23" w:name="iv.-methodology-a-three-phase-approach"/>
    <w:p>
      <w:pPr>
        <w:pStyle w:val="Heading2"/>
      </w:pPr>
      <w:r>
        <w:t xml:space="preserve">IV. Methodology: A Three-Phase Approach</w:t>
      </w:r>
    </w:p>
    <w:p>
      <w:pPr>
        <w:pStyle w:val="FirstParagraph"/>
      </w:pPr>
      <w:r>
        <w:rPr>
          <w:bCs/>
          <w:b/>
        </w:rPr>
        <w:t xml:space="preserve">Phase 1: Contextual Analysis (Months 1-4)</w:t>
      </w:r>
      <w:r>
        <w:br/>
      </w:r>
      <w:r>
        <w:t xml:space="preserve">Conduct field surveys across 5 distinct Kuala Lumpur zones (e.g., historic Batu Caves, modern KLCC, informal settlements in Cheras) to document existing masonry practices, material sources, and microclimate conditions. Partner with the National Heritage Department to catalogue traditional techniques like "batu bata" brickmaking and "kayu tapis" wall construction.</w:t>
      </w:r>
    </w:p>
    <w:p>
      <w:pPr>
        <w:pStyle w:val="BodyText"/>
      </w:pPr>
      <w:r>
        <w:rPr>
          <w:bCs/>
          <w:b/>
        </w:rPr>
        <w:t xml:space="preserve">Phase 2: Prototype Development &amp; Testing (Months 5-14)</w:t>
      </w:r>
      <w:r>
        <w:br/>
      </w:r>
      <w:r>
        <w:t xml:space="preserve">Collaborate with local universities (Universiti Kebangsaan Malaysia, Universiti Malaya) to develop three Mason prototypes: a low-cost housing unit in Setapak, a community center in Petaling Jaya, and an adaptive reuse project for heritage buildings in Bukit Bintang. Utilize recycled materials (e.g., crushed glass aggregate from KL waste streams) and monitor performance via IoT sensors tracking temperature, humidity, and energy use.</w:t>
      </w:r>
    </w:p>
    <w:p>
      <w:pPr>
        <w:pStyle w:val="BodyText"/>
      </w:pPr>
      <w:r>
        <w:rPr>
          <w:bCs/>
          <w:b/>
        </w:rPr>
        <w:t xml:space="preserve">Phase 3: Policy Integration &amp; Capacity Building (Months 15-24)</w:t>
      </w:r>
      <w:r>
        <w:br/>
      </w:r>
      <w:r>
        <w:t xml:space="preserve">Engage policymakers through workshops at the Kuala Lumpur City Hall (DBKL) to translate findings into policy briefs. Train 200+ local mason artisans via the Malaysian Construction Industry Development Board (CIDB), creating a "Mason Certified" accreditation system. Develop open-source design guides for municipal use.</w:t>
      </w:r>
    </w:p>
    <w:bookmarkEnd w:id="23"/>
    <w:bookmarkStart w:id="24" w:name="v.-expected-outcomes-and-significance"/>
    <w:p>
      <w:pPr>
        <w:pStyle w:val="Heading2"/>
      </w:pPr>
      <w:r>
        <w:t xml:space="preserve">V. Expected Outcomes and Significance</w:t>
      </w:r>
    </w:p>
    <w:p>
      <w:pPr>
        <w:pStyle w:val="FirstParagraph"/>
      </w:pPr>
      <w:r>
        <w:t xml:space="preserve">This research will deliver four transformative outcomes directly applicable to Malaysia Kuala Lumpur:</w:t>
      </w:r>
    </w:p>
    <w:p>
      <w:pPr>
        <w:numPr>
          <w:ilvl w:val="0"/>
          <w:numId w:val="1002"/>
        </w:numPr>
        <w:pStyle w:val="Compact"/>
      </w:pPr>
      <w:r>
        <w:rPr>
          <w:bCs/>
          <w:b/>
        </w:rPr>
        <w:t xml:space="preserve">Environmental Impact:</w:t>
      </w:r>
      <w:r>
        <w:t xml:space="preserve"> </w:t>
      </w:r>
      <w:r>
        <w:t xml:space="preserve">Demonstrate 40% lower embodied carbon per m² compared to conventional builds, reducing KL's construction sector emissions by an estimated 85,000 tons CO2e annually if scaled citywide.</w:t>
      </w:r>
    </w:p>
    <w:p>
      <w:pPr>
        <w:numPr>
          <w:ilvl w:val="0"/>
          <w:numId w:val="1002"/>
        </w:numPr>
        <w:pStyle w:val="Compact"/>
      </w:pPr>
      <w:r>
        <w:rPr>
          <w:bCs/>
          <w:b/>
        </w:rPr>
        <w:t xml:space="preserve">Socio-Economic Value:</w:t>
      </w:r>
      <w:r>
        <w:t xml:space="preserve"> </w:t>
      </w:r>
      <w:r>
        <w:t xml:space="preserve">Create sustainable livelihoods for 1,500+ traditional mason families through certified training and municipal contracts, addressing unemployment in KL's underserved communities.</w:t>
      </w:r>
    </w:p>
    <w:p>
      <w:pPr>
        <w:numPr>
          <w:ilvl w:val="0"/>
          <w:numId w:val="1002"/>
        </w:numPr>
        <w:pStyle w:val="Compact"/>
      </w:pPr>
      <w:r>
        <w:rPr>
          <w:bCs/>
          <w:b/>
        </w:rPr>
        <w:t xml:space="preserve">Cultural Preservation:</w:t>
      </w:r>
      <w:r>
        <w:t xml:space="preserve"> </w:t>
      </w:r>
      <w:r>
        <w:t xml:space="preserve">Document and revitalize at-risk Malay masonry techniques (e.g., "kain tembaga" wall finishes), preventing their disappearance as urban landscapes modernize.</w:t>
      </w:r>
    </w:p>
    <w:p>
      <w:pPr>
        <w:numPr>
          <w:ilvl w:val="0"/>
          <w:numId w:val="1002"/>
        </w:numPr>
        <w:pStyle w:val="Compact"/>
      </w:pPr>
      <w:r>
        <w:rPr>
          <w:bCs/>
          <w:b/>
        </w:rPr>
        <w:t xml:space="preserve">Policy Transformation:</w:t>
      </w:r>
      <w:r>
        <w:t xml:space="preserve"> </w:t>
      </w:r>
      <w:r>
        <w:t xml:space="preserve">Secure adoption of Mason principles in KL’s new Municipal Development Plan 2030, positioning Malaysia as a leader in culturally grounded sustainable urbanism within ASEAN.</w:t>
      </w:r>
    </w:p>
    <w:bookmarkEnd w:id="24"/>
    <w:bookmarkStart w:id="25" w:name="Xc0de6451f87024ec7af17da03450edb8accbdc1"/>
    <w:p>
      <w:pPr>
        <w:pStyle w:val="Heading2"/>
      </w:pPr>
      <w:r>
        <w:t xml:space="preserve">VI. Alignment with National and International Priorities</w:t>
      </w:r>
    </w:p>
    <w:p>
      <w:pPr>
        <w:pStyle w:val="FirstParagraph"/>
      </w:pPr>
      <w:r>
        <w:t xml:space="preserve">The Mason Initiative directly supports Malaysia's National Green Technology Policy (2014) and the UN Sustainable Development Goals 11 (Sustainable Cities) and 13 (Climate Action). It uniquely bridges global sustainability frameworks with local Malay cultural identity – a critical differentiator for successful implementation in Kuala Lumpur. The project also aligns with ASEAN’s Urban Climate Resilience Initiative, positioning KL as a demonstrator city for tropical urban solutions.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(MYR)</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Masonry inventory report, climate database for KL zones</w:t>
            </w:r>
          </w:p>
        </w:tc>
        <w:tc>
          <w:tcPr/>
          <w:p>
            <w:pPr>
              <w:pStyle w:val="Compact"/>
              <w:jc w:val="left"/>
            </w:pPr>
            <w:r>
              <w:t xml:space="preserve">120,000</w:t>
            </w:r>
          </w:p>
        </w:tc>
      </w:tr>
      <w:tr>
        <w:tc>
          <w:tcPr/>
          <w:p>
            <w:pPr>
              <w:pStyle w:val="Compact"/>
              <w:jc w:val="left"/>
            </w:pPr>
            <w:r>
              <w:t xml:space="preserve">Prototype Development &amp; Testing</w:t>
            </w:r>
          </w:p>
        </w:tc>
        <w:tc>
          <w:tcPr/>
          <w:p>
            <w:pPr>
              <w:pStyle w:val="Compact"/>
              <w:jc w:val="left"/>
            </w:pPr>
            <w:r>
              <w:t xml:space="preserve">10 months</w:t>
            </w:r>
          </w:p>
        </w:tc>
        <w:tc>
          <w:tcPr/>
          <w:p>
            <w:pPr>
              <w:pStyle w:val="Compact"/>
              <w:jc w:val="left"/>
            </w:pPr>
            <w:r>
              <w:t xml:space="preserve">3 built prototypes, performance analytics report, artisan training kit</w:t>
            </w:r>
          </w:p>
        </w:tc>
        <w:tc>
          <w:tcPr/>
          <w:p>
            <w:pPr>
              <w:pStyle w:val="Compact"/>
              <w:jc w:val="left"/>
            </w:pPr>
            <w:r>
              <w:t xml:space="preserve">780,000</w:t>
            </w:r>
          </w:p>
        </w:tc>
      </w:tr>
      <w:tr>
        <w:tc>
          <w:tcPr/>
          <w:p>
            <w:pPr>
              <w:pStyle w:val="Compact"/>
              <w:jc w:val="left"/>
            </w:pPr>
            <w:r>
              <w:t xml:space="preserve">Policy Integration &amp; Capacity Building</w:t>
            </w:r>
          </w:p>
        </w:tc>
        <w:tc>
          <w:tcPr/>
          <w:p>
            <w:pPr>
              <w:pStyle w:val="Compact"/>
              <w:jc w:val="left"/>
            </w:pPr>
            <w:r>
              <w:t xml:space="preserve">6 months</w:t>
            </w:r>
          </w:p>
        </w:tc>
        <w:tc>
          <w:tcPr/>
          <w:p>
            <w:pPr>
              <w:pStyle w:val="Compact"/>
              <w:jc w:val="left"/>
            </w:pPr>
            <w:r>
              <w:t xml:space="preserve">Municipal policy briefs, 200+ certified masons, open-source guides</w:t>
            </w:r>
          </w:p>
        </w:tc>
        <w:tc>
          <w:tcPr/>
          <w:p>
            <w:pPr>
              <w:pStyle w:val="Compact"/>
              <w:jc w:val="left"/>
            </w:pPr>
            <w:r>
              <w:t xml:space="preserve">350,000</w:t>
            </w:r>
          </w:p>
        </w:tc>
      </w:tr>
      <w:tr>
        <w:tc>
          <w:tcPr/>
          <w:p>
            <w:pPr>
              <w:pStyle w:val="Compact"/>
              <w:jc w:val="left"/>
            </w:pPr>
            <w:r>
              <w:rPr>
                <w:bCs/>
                <w:b/>
              </w:rPr>
              <w:t xml:space="preserve">Total</w:t>
            </w:r>
          </w:p>
        </w:tc>
        <w:tc>
          <w:tcPr/>
          <w:p>
            <w:pPr>
              <w:pStyle w:val="Compact"/>
              <w:jc w:val="left"/>
            </w:pPr>
            <w:r>
              <w:rPr>
                <w:bCs/>
                <w:b/>
              </w:rPr>
              <w:t xml:space="preserve">24 months</w:t>
            </w:r>
          </w:p>
        </w:tc>
        <w:tc>
          <w:tcPr/>
          <w:p>
            <w:pPr>
              <w:pStyle w:val="Compact"/>
            </w:pPr>
          </w:p>
        </w:tc>
        <w:tc>
          <w:tcPr/>
          <w:p>
            <w:pPr>
              <w:pStyle w:val="Compact"/>
              <w:jc w:val="left"/>
            </w:pPr>
            <w:r>
              <w:rPr>
                <w:bCs/>
                <w:b/>
              </w:rPr>
              <w:t xml:space="preserve">1,250,000</w:t>
            </w:r>
          </w:p>
        </w:tc>
      </w:tr>
    </w:tbl>
    <w:bookmarkEnd w:id="26"/>
    <w:bookmarkStart w:id="27" w:name="X735eabf267ef4508bf36b274f086355ea65c2a1"/>
    <w:p>
      <w:pPr>
        <w:pStyle w:val="Heading2"/>
      </w:pPr>
      <w:r>
        <w:t xml:space="preserve">VIII. Conclusion: Mason as Malaysia’s Sustainable Urban Catalyst</w:t>
      </w:r>
    </w:p>
    <w:p>
      <w:pPr>
        <w:pStyle w:val="FirstParagraph"/>
      </w:pPr>
      <w:r>
        <w:t xml:space="preserve">The Mason Initiative transcends a mere construction methodology – it represents a strategic investment in Kuala Lumpur's cultural and environmental future. By centering the research on Malaysia’s unique urban identity, this project ensures solutions are both technically viable and socially meaningful for residents of Kuala Lumpur. The proposed Mason Framework will not only reduce the city's ecological footprint but also empower local communities as active participants in sustainable development. As KL evolves toward its 2050 carbon-neutral vision, the Mason Initiative offers a replicable model that harmonizes tradition with innovation, proving that Malaysia’s urban future can be built on foundations of heritage and sustainability. This research is not merely about bricks and mortar – it is about building a resilient, culturally rooted Kuala Lumpur for generations to come.</w:t>
      </w:r>
    </w:p>
    <w:p>
      <w:pPr>
        <w:pStyle w:val="BodyText"/>
      </w:pPr>
      <w:r>
        <w:rPr>
          <w:iCs/>
          <w:i/>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Sustainable Urban Development in Kuala Lumpur</dc:title>
  <dc:creator/>
  <dc:language>en</dc:language>
  <cp:keywords/>
  <dcterms:created xsi:type="dcterms:W3CDTF">2026-07-21T02:31:57Z</dcterms:created>
  <dcterms:modified xsi:type="dcterms:W3CDTF">2026-07-21T02:31:57Z</dcterms:modified>
</cp:coreProperties>
</file>

<file path=docProps/custom.xml><?xml version="1.0" encoding="utf-8"?>
<Properties xmlns="http://schemas.openxmlformats.org/officeDocument/2006/custom-properties" xmlns:vt="http://schemas.openxmlformats.org/officeDocument/2006/docPropsVTypes"/>
</file>