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Dubai,</w:t>
      </w:r>
      <w:r>
        <w:t xml:space="preserve"> </w:t>
      </w:r>
      <w:r>
        <w:t xml:space="preserve">UAE</w:t>
      </w:r>
    </w:p>
    <w:bookmarkStart w:id="28" w:name="Xd0a73ae8b82b31d37b86df2cdd615f307faa645"/>
    <w:p>
      <w:pPr>
        <w:pStyle w:val="Heading1"/>
      </w:pPr>
      <w:r>
        <w:t xml:space="preserve">Research Proposal: Advancing Sustainable Construction Practices through Mason Innovation in Dubai, United Arab Emirates</w:t>
      </w:r>
    </w:p>
    <w:bookmarkStart w:id="20" w:name="introduction"/>
    <w:p>
      <w:pPr>
        <w:pStyle w:val="Heading2"/>
      </w:pPr>
      <w:r>
        <w:t xml:space="preserve">1. Introduction</w:t>
      </w:r>
    </w:p>
    <w:p>
      <w:pPr>
        <w:pStyle w:val="FirstParagraph"/>
      </w:pPr>
      <w:r>
        <w:t xml:space="preserve">The United Arab Emirates, particularly Dubai, stands as a global beacon of architectural ambition and urban transformation. As the city rapidly evolves with iconic landmarks like the Burj Khalifa and upcoming projects under initiatives such as Dubai Plan 2040, sustainable construction methodologies have become paramount. This research proposal focuses on</w:t>
      </w:r>
      <w:r>
        <w:t xml:space="preserve"> </w:t>
      </w:r>
      <w:r>
        <w:rPr>
          <w:bCs/>
          <w:b/>
        </w:rPr>
        <w:t xml:space="preserve">Mason</w:t>
      </w:r>
      <w:r>
        <w:t xml:space="preserve">, a pioneering UAE-based construction technology firm specializing in innovative masonry solutions, to investigate its role in advancing eco-conscious urban development within Dubai's unique environmental and economic context. With Dubai's construction sector contributing significantly to carbon emissions (approximately 40% of the emirate's total), this study addresses critical gaps in sustainable material science and labor practices that directly impact the city's long-term viability.</w:t>
      </w:r>
    </w:p>
    <w:bookmarkEnd w:id="20"/>
    <w:bookmarkStart w:id="21" w:name="problem-statement"/>
    <w:p>
      <w:pPr>
        <w:pStyle w:val="Heading2"/>
      </w:pPr>
      <w:r>
        <w:t xml:space="preserve">2. Problem Statement</w:t>
      </w:r>
    </w:p>
    <w:p>
      <w:pPr>
        <w:pStyle w:val="FirstParagraph"/>
      </w:pPr>
      <w:r>
        <w:t xml:space="preserve">Despite Dubai's aggressive sustainability targets—such as achieving net-zero emissions by 2050—the construction industry remains heavily reliant on energy-intensive materials like conventional concrete and imported bricks. Current masonry practices often disregard local climate adaptation, water conservation, and waste reduction, leading to unsustainable resource consumption. Mason has emerged as a disruptor with its proprietary recycled aggregate masonry system (RAMS), yet its scalability across Dubai's diverse projects—from luxury residential towers to public infrastructure—remains understudied. Without empirical analysis of Mason's methodologies within Dubai's regulatory framework and environmental constraints, the potential for systemic adoption is limited. This research directly confronts this knowledge gap.</w:t>
      </w:r>
    </w:p>
    <w:bookmarkEnd w:id="21"/>
    <w:bookmarkStart w:id="22" w:name="research-objectives"/>
    <w:p>
      <w:pPr>
        <w:pStyle w:val="Heading2"/>
      </w:pPr>
      <w:r>
        <w:t xml:space="preserve">3. Research Objectives</w:t>
      </w:r>
    </w:p>
    <w:p>
      <w:pPr>
        <w:numPr>
          <w:ilvl w:val="0"/>
          <w:numId w:val="1001"/>
        </w:numPr>
        <w:pStyle w:val="Compact"/>
      </w:pPr>
      <w:r>
        <w:t xml:space="preserve">To evaluate Mason’s RAMS technology in reducing carbon footprint compared to conventional masonry across three distinct Dubai construction sites (residential, commercial, and public infrastructure).</w:t>
      </w:r>
    </w:p>
    <w:p>
      <w:pPr>
        <w:numPr>
          <w:ilvl w:val="0"/>
          <w:numId w:val="1001"/>
        </w:numPr>
        <w:pStyle w:val="Compact"/>
      </w:pPr>
      <w:r>
        <w:t xml:space="preserve">To assess the economic viability of Mason’s solutions within Dubai's current building cost structures and long-term operational savings.</w:t>
      </w:r>
    </w:p>
    <w:p>
      <w:pPr>
        <w:numPr>
          <w:ilvl w:val="0"/>
          <w:numId w:val="1001"/>
        </w:numPr>
        <w:pStyle w:val="Compact"/>
      </w:pPr>
      <w:r>
        <w:t xml:space="preserve">To analyze regulatory alignment between Mason’s practices and UAE Federal Law 30/2021 on sustainable construction.</w:t>
      </w:r>
    </w:p>
    <w:p>
      <w:pPr>
        <w:numPr>
          <w:ilvl w:val="0"/>
          <w:numId w:val="1001"/>
        </w:numPr>
        <w:pStyle w:val="Compact"/>
      </w:pPr>
      <w:r>
        <w:t xml:space="preserve">To identify cultural and labor force adaptation challenges for Mason-style masonry in Dubai's multicultural workforce context.</w:t>
      </w:r>
    </w:p>
    <w:bookmarkEnd w:id="22"/>
    <w:bookmarkStart w:id="23" w:name="literature-review-key-insights"/>
    <w:p>
      <w:pPr>
        <w:pStyle w:val="Heading2"/>
      </w:pPr>
      <w:r>
        <w:t xml:space="preserve">4. Literature Review (Key Insights)</w:t>
      </w:r>
    </w:p>
    <w:p>
      <w:pPr>
        <w:pStyle w:val="FirstParagraph"/>
      </w:pPr>
      <w:r>
        <w:t xml:space="preserve">Existing studies (e.g., Al-Mansoori, 2023) confirm Dubai's construction sector consumes 60% of the emirate’s energy, with masonry alone accounting for 15% of project carbon emissions. While global research on recycled aggregates exists (Zhang et al., 2022), no studies examine their application in Dubai’s extreme heat (averaging 43°C in summer) and high humidity. Mason's approach—using up to 70% recycled construction waste processed through a Dubai-based facility—directly addresses these gaps. However, limited academic attention has been paid to how such innovations interact with UAE-specific factors: stringent building codes (like Dubai Municipality’s Environmental Regulations), water scarcity challenges, and the Emirate's vision for "Green Growth" as outlined in the UAE Net Zero 2050 Strategy. This proposal bridges this critical scholarly void.</w:t>
      </w:r>
    </w:p>
    <w:bookmarkEnd w:id="23"/>
    <w:bookmarkStart w:id="24" w:name="methodology"/>
    <w:p>
      <w:pPr>
        <w:pStyle w:val="Heading2"/>
      </w:pPr>
      <w:r>
        <w:t xml:space="preserve">5. Methodology</w:t>
      </w:r>
    </w:p>
    <w:p>
      <w:pPr>
        <w:pStyle w:val="FirstParagraph"/>
      </w:pPr>
      <w:r>
        <w:t xml:space="preserve">This mixed-methods study will deploy a 14-month field research plan across Dubai:</w:t>
      </w:r>
    </w:p>
    <w:p>
      <w:pPr>
        <w:numPr>
          <w:ilvl w:val="0"/>
          <w:numId w:val="1002"/>
        </w:numPr>
        <w:pStyle w:val="Compact"/>
      </w:pPr>
      <w:r>
        <w:rPr>
          <w:bCs/>
          <w:b/>
        </w:rPr>
        <w:t xml:space="preserve">Quantitative Phase (Months 1-8):</w:t>
      </w:r>
      <w:r>
        <w:t xml:space="preserve"> </w:t>
      </w:r>
      <w:r>
        <w:t xml:space="preserve">Carbon footprint analysis using ISO 14067 standards on Mason's RAMS vs. conventional masonry at three active projects (e.g., Alserkal Avenue redevelopment, Downtown Dubai commercial zone, and Dubai South public housing). Data will include material sourcing distances, energy use in production, and embodied carbon calculations.</w:t>
      </w:r>
    </w:p>
    <w:p>
      <w:pPr>
        <w:numPr>
          <w:ilvl w:val="0"/>
          <w:numId w:val="1002"/>
        </w:numPr>
        <w:pStyle w:val="Compact"/>
      </w:pPr>
      <w:r>
        <w:rPr>
          <w:bCs/>
          <w:b/>
        </w:rPr>
        <w:t xml:space="preserve">Qualitative Phase (Months 5-12):</w:t>
      </w:r>
      <w:r>
        <w:t xml:space="preserve"> </w:t>
      </w:r>
      <w:r>
        <w:t xml:space="preserve">Semi-structured interviews with 30 stakeholders: Mason’s engineering team (Dubai office), Dubai Municipality sustainability officers, project managers from major contractors (e.g., Emaar, Nakheel), and laborers. Focus groups will explore workforce training needs and cultural adoption barriers.</w:t>
      </w:r>
    </w:p>
    <w:p>
      <w:pPr>
        <w:numPr>
          <w:ilvl w:val="0"/>
          <w:numId w:val="1002"/>
        </w:numPr>
        <w:pStyle w:val="Compact"/>
      </w:pPr>
      <w:r>
        <w:rPr>
          <w:bCs/>
          <w:b/>
        </w:rPr>
        <w:t xml:space="preserve">Comparative Analysis (Months 10-14):</w:t>
      </w:r>
      <w:r>
        <w:t xml:space="preserve"> </w:t>
      </w:r>
      <w:r>
        <w:t xml:space="preserve">Cost-benefit modeling using Dubai-specific data on material prices, labor costs, and maintenance savings from RAMS’s durability in desert conditions. Results will be benchmarked against the UAE Green Building Code (2023).</w:t>
      </w:r>
    </w:p>
    <w:p>
      <w:pPr>
        <w:pStyle w:val="FirstParagraph"/>
      </w:pPr>
      <w:r>
        <w:t xml:space="preserve">All fieldwork adheres to UAE ethical guidelines and requires approval from the Dubai Research Ethics Committee. Partnerships with Mason and Dubai Municipality ensure real-world data access.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cost-emission matrix for RAMS, demonstrating potential 30% lower lifecycle carbon and 15% reduced material costs in Dubai conditions.</w:t>
      </w:r>
    </w:p>
    <w:p>
      <w:pPr>
        <w:numPr>
          <w:ilvl w:val="0"/>
          <w:numId w:val="1003"/>
        </w:numPr>
        <w:pStyle w:val="Compact"/>
      </w:pPr>
      <w:r>
        <w:t xml:space="preserve">A policy framework for integrating Mason-style masonry into Dubai’s "Sustainable Construction Certification" system.</w:t>
      </w:r>
    </w:p>
    <w:p>
      <w:pPr>
        <w:numPr>
          <w:ilvl w:val="0"/>
          <w:numId w:val="1003"/>
        </w:numPr>
        <w:pStyle w:val="Compact"/>
      </w:pPr>
      <w:r>
        <w:t xml:space="preserve">Workforce development protocols addressing labor skill gaps, supporting UAE Vision 2030’s Emiratization goals.</w:t>
      </w:r>
    </w:p>
    <w:p>
      <w:pPr>
        <w:pStyle w:val="FirstParagraph"/>
      </w:pPr>
      <w:r>
        <w:t xml:space="preserve">The significance extends beyond academia: By validating Mason's model, the study will provide Dubai government and developers with actionable evidence to accelerate sustainable masonry adoption. As the city targets 75% sustainable construction by 2035 (Dubai Carbon Abatement Strategy), this research directly supports national priorities. Furthermore, it positions</w:t>
      </w:r>
      <w:r>
        <w:t xml:space="preserve"> </w:t>
      </w:r>
      <w:r>
        <w:rPr>
          <w:bCs/>
          <w:b/>
        </w:rPr>
        <w:t xml:space="preserve">Mason</w:t>
      </w:r>
      <w:r>
        <w:t xml:space="preserve"> </w:t>
      </w:r>
      <w:r>
        <w:t xml:space="preserve">as a scalable solution for UAE-wide replication—potentially reducing the Emirate’s annual construction emissions by an estimated 120,000 tons of CO₂.</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Site Selection &amp; Permitting</w:t>
            </w:r>
          </w:p>
        </w:tc>
        <w:tc>
          <w:tcPr/>
          <w:p>
            <w:pPr>
              <w:pStyle w:val="Compact"/>
              <w:jc w:val="left"/>
            </w:pPr>
            <w:r>
              <w:t xml:space="preserve">2 months</w:t>
            </w:r>
          </w:p>
        </w:tc>
        <w:tc>
          <w:tcPr/>
          <w:p>
            <w:pPr>
              <w:pStyle w:val="Compact"/>
              <w:jc w:val="left"/>
            </w:pPr>
            <w:r>
              <w:t xml:space="preserve">$15,000</w:t>
            </w:r>
          </w:p>
        </w:tc>
      </w:tr>
      <w:tr>
        <w:tc>
          <w:tcPr/>
          <w:p>
            <w:pPr>
              <w:pStyle w:val="Compact"/>
              <w:jc w:val="left"/>
            </w:pPr>
            <w:r>
              <w:t xml:space="preserve">Data Collection &amp; Carbon Analysis</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Stakeholder Interviews &amp; Workshops</w:t>
            </w:r>
          </w:p>
        </w:tc>
        <w:tc>
          <w:tcPr/>
          <w:p>
            <w:pPr>
              <w:pStyle w:val="Compact"/>
              <w:jc w:val="left"/>
            </w:pPr>
            <w:r>
              <w:t xml:space="preserve">4 months</w:t>
            </w:r>
          </w:p>
        </w:tc>
        <w:tc>
          <w:tcPr/>
          <w:p>
            <w:pPr>
              <w:pStyle w:val="Compact"/>
              <w:jc w:val="left"/>
            </w:pPr>
            <w:r>
              <w:t xml:space="preserve">$32,000</w:t>
            </w:r>
          </w:p>
        </w:tc>
      </w:tr>
      <w:tr>
        <w:tc>
          <w:tcPr/>
          <w:p>
            <w:pPr>
              <w:pStyle w:val="Compact"/>
              <w:jc w:val="left"/>
            </w:pPr>
            <w:r>
              <w:t xml:space="preserve">Data Analysis &amp; Reporting</w:t>
            </w:r>
          </w:p>
        </w:tc>
        <w:tc>
          <w:tcPr/>
          <w:p>
            <w:pPr>
              <w:pStyle w:val="Compact"/>
              <w:jc w:val="left"/>
            </w:pPr>
            <w:r>
              <w:t xml:space="preserve">2 months</w:t>
            </w:r>
          </w:p>
        </w:tc>
        <w:tc>
          <w:tcPr/>
          <w:p>
            <w:pPr>
              <w:pStyle w:val="Compact"/>
              <w:jc w:val="left"/>
            </w:pPr>
            <w:r>
              <w:t xml:space="preserve">$18,000</w:t>
            </w:r>
          </w:p>
        </w:tc>
      </w:tr>
      <w:tr>
        <w:tc>
          <w:tcPr/>
          <w:p>
            <w:pPr>
              <w:pStyle w:val="Compact"/>
              <w:jc w:val="left"/>
            </w:pPr>
            <w:r>
              <w:t xml:space="preserve">Total</w:t>
            </w:r>
          </w:p>
        </w:tc>
        <w:tc>
          <w:tcPr/>
          <w:p>
            <w:pPr>
              <w:pStyle w:val="Compact"/>
              <w:jc w:val="left"/>
            </w:pPr>
            <w:r>
              <w:t xml:space="preserve">14 months</w:t>
            </w:r>
          </w:p>
        </w:tc>
        <w:tc>
          <w:tcPr/>
          <w:p>
            <w:pPr>
              <w:pStyle w:val="Compact"/>
              <w:jc w:val="left"/>
            </w:pPr>
            <w:r>
              <w:t xml:space="preserve">$110,000</w:t>
            </w:r>
          </w:p>
        </w:tc>
      </w:tr>
    </w:tbl>
    <w:p>
      <w:pPr>
        <w:pStyle w:val="BodyText"/>
      </w:pPr>
      <w:r>
        <w:t xml:space="preserve">Budget sources include UAE Ministry of Climate Change &amp; Environment grants (55%), Mason’s R&amp;D partnership (35%), and Dubai University Research Fund (10%). All funds will be managed transparently via UAE-approved financial systems.</w:t>
      </w:r>
    </w:p>
    <w:bookmarkEnd w:id="26"/>
    <w:bookmarkStart w:id="27" w:name="conclusion"/>
    <w:p>
      <w:pPr>
        <w:pStyle w:val="Heading2"/>
      </w:pPr>
      <w:r>
        <w:t xml:space="preserve">8. Conclusion</w:t>
      </w:r>
    </w:p>
    <w:p>
      <w:pPr>
        <w:pStyle w:val="FirstParagraph"/>
      </w:pPr>
      <w:r>
        <w:t xml:space="preserve">As Dubai accelerates its journey toward becoming a "Global City of the Future," integrating innovative solutions like</w:t>
      </w:r>
      <w:r>
        <w:t xml:space="preserve"> </w:t>
      </w:r>
      <w:r>
        <w:rPr>
          <w:bCs/>
          <w:b/>
        </w:rPr>
        <w:t xml:space="preserve">Mason</w:t>
      </w:r>
      <w:r>
        <w:t xml:space="preserve">'s recycled masonry is not merely advantageous—it is imperative for environmental stewardship and economic resilience. This research transcends theoretical inquiry by embedding itself within Dubai’s operational landscape, delivering evidence-based pathways to transform construction practices. By centering on Mason as a catalyst for change, the study honors Dubai's dual mandate: preserving its architectural legacy while pioneering sustainable development that sets global standards. The outcomes will empower UAE policymakers, industry leaders, and innovators to move decisively toward a carbon-neutral built environment—one masonry unit at a time.</w:t>
      </w:r>
    </w:p>
    <w:p>
      <w:pPr>
        <w:pStyle w:val="BodyText"/>
      </w:pPr>
      <w:r>
        <w:rPr>
          <w:bCs/>
          <w:b/>
        </w:rPr>
        <w:t xml:space="preserve">Submitted to:</w:t>
      </w:r>
      <w:r>
        <w:t xml:space="preserve"> </w:t>
      </w:r>
      <w:r>
        <w:t xml:space="preserve">Dubai Research Council &amp; UAE Ministry of Climate Change &amp; Environment</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Sustainable Urban Development in Dubai, UAE</dc:title>
  <dc:creator/>
  <dc:language>en</dc:language>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