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Heritage</w:t>
      </w:r>
      <w:r>
        <w:t xml:space="preserve"> </w:t>
      </w:r>
      <w:r>
        <w:t xml:space="preserve">and</w:t>
      </w:r>
      <w:r>
        <w:t xml:space="preserve"> </w:t>
      </w:r>
      <w:r>
        <w:t xml:space="preserve">Modern</w:t>
      </w:r>
      <w:r>
        <w:t xml:space="preserve"> </w:t>
      </w:r>
      <w:r>
        <w:t xml:space="preserve">Applications</w:t>
      </w:r>
      <w:r>
        <w:t xml:space="preserve"> </w:t>
      </w:r>
      <w:r>
        <w:t xml:space="preserve">in</w:t>
      </w:r>
      <w:r>
        <w:t xml:space="preserve"> </w:t>
      </w:r>
      <w:r>
        <w:t xml:space="preserve">Tashkent,</w:t>
      </w:r>
      <w:r>
        <w:t xml:space="preserve"> </w:t>
      </w:r>
      <w:r>
        <w:t xml:space="preserve">Uzbekistan</w:t>
      </w:r>
    </w:p>
    <w:bookmarkStart w:id="32" w:name="X988f710536a7d5c19fe9ce946b2a21e8ded27d2"/>
    <w:p>
      <w:pPr>
        <w:pStyle w:val="Heading1"/>
      </w:pPr>
      <w:r>
        <w:t xml:space="preserve">Research Proposal: Preserving Traditional Masonry Techniques and Innovating Sustainable Construction Practices in Tashkent, Uzbekistan</w:t>
      </w:r>
    </w:p>
    <w:bookmarkStart w:id="20" w:name="introduction"/>
    <w:p>
      <w:pPr>
        <w:pStyle w:val="Heading2"/>
      </w:pPr>
      <w:r>
        <w:t xml:space="preserve">1. Introduction</w:t>
      </w:r>
    </w:p>
    <w:p>
      <w:pPr>
        <w:pStyle w:val="FirstParagraph"/>
      </w:pPr>
      <w:r>
        <w:t xml:space="preserve">The ancient city of Tashkent, Uzbekistan's cultural and economic capital, stands at a pivotal crossroads where historical masonry heritage intersects with contemporary urban development. Masonry – the craft of shaping and assembling stone, brick, and mortar – has defined Central Asia's architectural identity for over a millennium. This research proposal addresses the urgent need to document, preserve, and adapt traditional masonry techniques within Tashkent's rapidly modernizing urban landscape. As Uzbekistan advances its national vision for sustainable development under President Shavkat Mirziyoyev's "Strategy 2030," this study positions Masonry as both a cultural anchor and a practical solution for resilient infrastructure in Tashkent.</w:t>
      </w:r>
    </w:p>
    <w:bookmarkEnd w:id="20"/>
    <w:bookmarkStart w:id="21" w:name="problem-statement"/>
    <w:p>
      <w:pPr>
        <w:pStyle w:val="Heading2"/>
      </w:pPr>
      <w:r>
        <w:t xml:space="preserve">2. Problem Statement</w:t>
      </w:r>
    </w:p>
    <w:p>
      <w:pPr>
        <w:pStyle w:val="FirstParagraph"/>
      </w:pPr>
      <w:r>
        <w:t xml:space="preserve">Tashkent faces critical challenges in balancing preservation with progress. Historic structures like the Kalta Minor Minaret and Chorsu Bazaar showcase exceptional masonry craftsmanship, yet these sites suffer from inadequate documentation, environmental degradation, and a near-erasure of skilled artisans. Simultaneously, Tashkent's construction boom relies heavily on energy-intensive concrete and steel, exacerbating urban heat islands and carbon emissions. Crucially, the knowledge gap between traditional Masonry techniques – perfected over centuries in Central Asia – and modern engineering practices creates a disconnect that threatens both cultural continuity and sustainable development goals. Without urgent intervention, Tashkent risks losing irreplaceable intangible heritage while repeating unsustainable construction patterns.</w:t>
      </w:r>
    </w:p>
    <w:bookmarkEnd w:id="21"/>
    <w:bookmarkStart w:id="22" w:name="research-objectives"/>
    <w:p>
      <w:pPr>
        <w:pStyle w:val="Heading2"/>
      </w:pPr>
      <w:r>
        <w:t xml:space="preserve">3. Research Objectives</w:t>
      </w:r>
    </w:p>
    <w:p>
      <w:pPr>
        <w:numPr>
          <w:ilvl w:val="0"/>
          <w:numId w:val="1001"/>
        </w:numPr>
        <w:pStyle w:val="Compact"/>
      </w:pPr>
      <w:r>
        <w:t xml:space="preserve">To systematically document traditional masonry techniques used in Tashkent's historic structures (10th–19th centuries), including material sourcing, tool usage, and structural principles.</w:t>
      </w:r>
    </w:p>
    <w:p>
      <w:pPr>
        <w:numPr>
          <w:ilvl w:val="0"/>
          <w:numId w:val="1001"/>
        </w:numPr>
        <w:pStyle w:val="Compact"/>
      </w:pPr>
      <w:r>
        <w:t xml:space="preserve">To evaluate the environmental and economic viability of reviving these techniques for modern sustainable construction in Tashkent.</w:t>
      </w:r>
    </w:p>
    <w:p>
      <w:pPr>
        <w:numPr>
          <w:ilvl w:val="0"/>
          <w:numId w:val="1001"/>
        </w:numPr>
        <w:pStyle w:val="Compact"/>
      </w:pPr>
      <w:r>
        <w:t xml:space="preserve">To establish a training framework for youth apprenticeship programs to preserve Masonry skills within Uzbekistan's cultural context.</w:t>
      </w:r>
    </w:p>
    <w:p>
      <w:pPr>
        <w:numPr>
          <w:ilvl w:val="0"/>
          <w:numId w:val="1001"/>
        </w:numPr>
        <w:pStyle w:val="Compact"/>
      </w:pPr>
      <w:r>
        <w:t xml:space="preserve">To develop a hybrid masonry model integrating traditional methods with contemporary seismic-resistant engineering, tailored for Tashkent's climate and building codes.</w:t>
      </w:r>
    </w:p>
    <w:bookmarkEnd w:id="22"/>
    <w:bookmarkStart w:id="23" w:name="literature-review-contextual-foundation"/>
    <w:p>
      <w:pPr>
        <w:pStyle w:val="Heading2"/>
      </w:pPr>
      <w:r>
        <w:t xml:space="preserve">4. Literature Review (Contextual Foundation)</w:t>
      </w:r>
    </w:p>
    <w:p>
      <w:pPr>
        <w:pStyle w:val="FirstParagraph"/>
      </w:pPr>
      <w:r>
        <w:t xml:space="preserve">Existing scholarship on Central Asian architecture emphasizes the sophistication of Islamic masonry (e.g., works by J. A. Rippin), yet lacks granular field studies specific to Tashkent's vernacular techniques. International frameworks like UNESCO's "Masonry in Cultural Heritage" provide methodological guidance but overlook Central Asian adaptations. Uzbekistan's own 2019 Urban Development Strategy prioritizes heritage conservation, yet implementation gaps persist due to insufficient technical expertise on Masonry. This research bridges these divides by centering Tashkent as a living laboratory where traditional craft meets 21st-century sustainability imperatives.</w:t>
      </w:r>
    </w:p>
    <w:bookmarkEnd w:id="23"/>
    <w:bookmarkStart w:id="27" w:name="methodology"/>
    <w:p>
      <w:pPr>
        <w:pStyle w:val="Heading2"/>
      </w:pPr>
      <w:r>
        <w:t xml:space="preserve">5. Methodology</w:t>
      </w:r>
    </w:p>
    <w:p>
      <w:pPr>
        <w:pStyle w:val="FirstParagraph"/>
      </w:pPr>
      <w:r>
        <w:t xml:space="preserve">This mixed-methods study will deploy three interconnected phases across Tashkent:</w:t>
      </w:r>
    </w:p>
    <w:bookmarkStart w:id="24" w:name="phase-1-heritage-documentation-months-14"/>
    <w:p>
      <w:pPr>
        <w:pStyle w:val="Heading3"/>
      </w:pPr>
      <w:r>
        <w:t xml:space="preserve">Phase 1: Heritage Documentation (Months 1–4)</w:t>
      </w:r>
    </w:p>
    <w:p>
      <w:pPr>
        <w:numPr>
          <w:ilvl w:val="0"/>
          <w:numId w:val="1002"/>
        </w:numPr>
        <w:pStyle w:val="Compact"/>
      </w:pPr>
      <w:r>
        <w:rPr>
          <w:bCs/>
          <w:b/>
        </w:rPr>
        <w:t xml:space="preserve">Archaeological Survey:</w:t>
      </w:r>
      <w:r>
        <w:t xml:space="preserve"> </w:t>
      </w:r>
      <w:r>
        <w:t xml:space="preserve">Photogrammetry and non-invasive material analysis of five priority sites (e.g., Ittefaq Mosque, Tashkent City Fortress remnants).</w:t>
      </w:r>
    </w:p>
    <w:p>
      <w:pPr>
        <w:numPr>
          <w:ilvl w:val="0"/>
          <w:numId w:val="1002"/>
        </w:numPr>
        <w:pStyle w:val="Compact"/>
      </w:pPr>
      <w:r>
        <w:rPr>
          <w:bCs/>
          <w:b/>
        </w:rPr>
        <w:t xml:space="preserve">Oral Histories:</w:t>
      </w:r>
      <w:r>
        <w:t xml:space="preserve"> </w:t>
      </w:r>
      <w:r>
        <w:t xml:space="preserve">Interviews with 25+ elderly masons ("mushakhs") across Tashkent's historic districts to capture techniques like "sopil" brickwork and lime-based mortar recipes.</w:t>
      </w:r>
    </w:p>
    <w:bookmarkEnd w:id="24"/>
    <w:bookmarkStart w:id="25" w:name="Xcdb8cb0170377215145043e020dc20c98406bc0"/>
    <w:p>
      <w:pPr>
        <w:pStyle w:val="Heading3"/>
      </w:pPr>
      <w:r>
        <w:t xml:space="preserve">Phase 2: Technical Viability Assessment (Months 5–8)</w:t>
      </w:r>
    </w:p>
    <w:p>
      <w:pPr>
        <w:numPr>
          <w:ilvl w:val="0"/>
          <w:numId w:val="1003"/>
        </w:numPr>
        <w:pStyle w:val="Compact"/>
      </w:pPr>
      <w:r>
        <w:rPr>
          <w:bCs/>
          <w:b/>
        </w:rPr>
        <w:t xml:space="preserve">Material Testing:</w:t>
      </w:r>
      <w:r>
        <w:t xml:space="preserve"> </w:t>
      </w:r>
      <w:r>
        <w:t xml:space="preserve">Lab analysis of traditional materials (clay bricks, gypsum plaster, local stone) against modern alternatives for thermal efficiency and durability.</w:t>
      </w:r>
    </w:p>
    <w:p>
      <w:pPr>
        <w:numPr>
          <w:ilvl w:val="0"/>
          <w:numId w:val="1003"/>
        </w:numPr>
        <w:pStyle w:val="Compact"/>
      </w:pPr>
      <w:r>
        <w:rPr>
          <w:bCs/>
          <w:b/>
        </w:rPr>
        <w:t xml:space="preserve">Engineering Simulation:</w:t>
      </w:r>
      <w:r>
        <w:t xml:space="preserve"> </w:t>
      </w:r>
      <w:r>
        <w:t xml:space="preserve">Collaboration with Tashkent Institute of Architecture to model seismic performance of hybrid masonry structures using software like SAP2000.</w:t>
      </w:r>
    </w:p>
    <w:bookmarkEnd w:id="25"/>
    <w:bookmarkStart w:id="26" w:name="phase-3-community-integration-months-912"/>
    <w:p>
      <w:pPr>
        <w:pStyle w:val="Heading3"/>
      </w:pPr>
      <w:r>
        <w:t xml:space="preserve">Phase 3: Community Integration (Months 9–12)</w:t>
      </w:r>
    </w:p>
    <w:p>
      <w:pPr>
        <w:numPr>
          <w:ilvl w:val="0"/>
          <w:numId w:val="1004"/>
        </w:numPr>
        <w:pStyle w:val="Compact"/>
      </w:pPr>
      <w:r>
        <w:rPr>
          <w:bCs/>
          <w:b/>
        </w:rPr>
        <w:t xml:space="preserve">Apprenticeship Pilot:</w:t>
      </w:r>
      <w:r>
        <w:t xml:space="preserve"> </w:t>
      </w:r>
      <w:r>
        <w:t xml:space="preserve">Partnership with Tashkent State University of Arts to train 40 students in traditional Masonry at a restored courtyard site.</w:t>
      </w:r>
    </w:p>
    <w:p>
      <w:pPr>
        <w:numPr>
          <w:ilvl w:val="0"/>
          <w:numId w:val="1004"/>
        </w:numPr>
        <w:pStyle w:val="Compact"/>
      </w:pPr>
      <w:r>
        <w:rPr>
          <w:bCs/>
          <w:b/>
        </w:rPr>
        <w:t xml:space="preserve">Policy Briefing:</w:t>
      </w:r>
      <w:r>
        <w:t xml:space="preserve"> </w:t>
      </w:r>
      <w:r>
        <w:t xml:space="preserve">Workshops with Uzbekistan's Ministry of Culture and Urban Development to draft guidelines for Masonry incorporation in municipal projects.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w:t>
      </w:r>
    </w:p>
    <w:p>
      <w:pPr>
        <w:numPr>
          <w:ilvl w:val="0"/>
          <w:numId w:val="1005"/>
        </w:numPr>
        <w:pStyle w:val="Compact"/>
      </w:pPr>
      <w:r>
        <w:rPr>
          <w:bCs/>
          <w:b/>
        </w:rPr>
        <w:t xml:space="preserve">A Digital Heritage Repository:</w:t>
      </w:r>
      <w:r>
        <w:t xml:space="preserve"> </w:t>
      </w:r>
      <w:r>
        <w:t xml:space="preserve">Open-access database of Tashkent's masonry techniques, including 3D models and video tutorials – the first of its kind for Uzbekistan.</w:t>
      </w:r>
    </w:p>
    <w:p>
      <w:pPr>
        <w:numPr>
          <w:ilvl w:val="0"/>
          <w:numId w:val="1005"/>
        </w:numPr>
        <w:pStyle w:val="Compact"/>
      </w:pPr>
      <w:r>
        <w:rPr>
          <w:bCs/>
          <w:b/>
        </w:rPr>
        <w:t xml:space="preserve">Sustainable Construction Protocols:</w:t>
      </w:r>
      <w:r>
        <w:t xml:space="preserve"> </w:t>
      </w:r>
      <w:r>
        <w:t xml:space="preserve">A "Tashkent Masonry Standard" enabling cost-effective, climate-resilient housing using locally sourced materials (projected to reduce construction emissions by 22% in pilot zones).</w:t>
      </w:r>
    </w:p>
    <w:p>
      <w:pPr>
        <w:numPr>
          <w:ilvl w:val="0"/>
          <w:numId w:val="1005"/>
        </w:numPr>
        <w:pStyle w:val="Compact"/>
      </w:pPr>
      <w:r>
        <w:rPr>
          <w:bCs/>
          <w:b/>
        </w:rPr>
        <w:t xml:space="preserve">Cultural Revitalization Framework:</w:t>
      </w:r>
      <w:r>
        <w:t xml:space="preserve"> </w:t>
      </w:r>
      <w:r>
        <w:t xml:space="preserve">A scalable model for vocational training that positions Masonry as a high-demand career path, directly supporting Uzbekistan's youth employment goals.</w:t>
      </w:r>
    </w:p>
    <w:p>
      <w:pPr>
        <w:pStyle w:val="FirstParagraph"/>
      </w:pPr>
      <w:r>
        <w:t xml:space="preserve">The significance extends beyond Tashkent: As Central Asia's largest city, Tashkent serves as a microcosm for post-Soviet urban centers globally. Successful implementation could catalyze UNESCO recognition for the region’s masonry heritage and provide a template for sustainable development in similar cultural contexts from Samarkand to Bishkek.</w:t>
      </w:r>
    </w:p>
    <w:bookmarkEnd w:id="28"/>
    <w:bookmarkStart w:id="29" w:name="timeline-resource-requirements"/>
    <w:p>
      <w:pPr>
        <w:pStyle w:val="Heading2"/>
      </w:pPr>
      <w:r>
        <w:t xml:space="preserve">7. Timeline &amp; Resource Requirements</w:t>
      </w:r>
    </w:p>
    <w:p>
      <w:pPr>
        <w:pStyle w:val="FirstParagraph"/>
      </w:pPr>
      <w:r>
        <w:t xml:space="preserve">Phase</w:t>
      </w:r>
    </w:p>
    <w:p>
      <w:pPr>
        <w:pStyle w:val="BodyText"/>
      </w:pPr>
      <w:r>
        <w:t xml:space="preserve">Timeline</w:t>
      </w:r>
    </w:p>
    <w:p>
      <w:pPr>
        <w:pStyle w:val="BodyText"/>
      </w:pPr>
      <w:r>
        <w:t xml:space="preserve">Key Resources Required</w:t>
      </w:r>
    </w:p>
    <w:p>
      <w:pPr>
        <w:pStyle w:val="BodyText"/>
      </w:pPr>
      <w:r>
        <w:t xml:space="preserve">Heritage Documentation</w:t>
      </w:r>
    </w:p>
    <w:p>
      <w:pPr>
        <w:pStyle w:val="BodyText"/>
      </w:pPr>
      <w:r>
        <w:t xml:space="preserve">Months 1–4</w:t>
      </w:r>
    </w:p>
    <w:p>
      <w:pPr>
        <w:pStyle w:val="BodyText"/>
      </w:pPr>
      <w:r>
        <w:t xml:space="preserve">Multidisciplinary team (architects, historians), photogrammetry equipment, oral history training</w:t>
      </w:r>
    </w:p>
    <w:p>
      <w:pPr>
        <w:pStyle w:val="BodyText"/>
      </w:pPr>
      <w:r>
        <w:t xml:space="preserve">Technical Assessment</w:t>
      </w:r>
    </w:p>
    <w:p>
      <w:pPr>
        <w:pStyle w:val="BodyText"/>
      </w:pPr>
      <w:r>
        <w:t xml:space="preserve">Months 5–8</w:t>
      </w:r>
    </w:p>
    <w:p>
      <w:pPr>
        <w:pStyle w:val="BodyText"/>
      </w:pPr>
      <w:r>
        <w:t xml:space="preserve">Laboratory access (Tashkent Technical University), seismic modeling software licenses</w:t>
      </w:r>
    </w:p>
    <w:p>
      <w:pPr>
        <w:pStyle w:val="BodyText"/>
      </w:pPr>
      <w:r>
        <w:t xml:space="preserve">Community Integration</w:t>
      </w:r>
    </w:p>
    <w:p>
      <w:pPr>
        <w:pStyle w:val="BodyText"/>
      </w:pPr>
      <w:r>
        <w:t xml:space="preserve">Months 9–12</w:t>
      </w:r>
    </w:p>
    <w:bookmarkEnd w:id="29"/>
    <w:bookmarkStart w:id="30" w:name="conclusion"/>
    <w:p>
      <w:pPr>
        <w:pStyle w:val="Heading2"/>
      </w:pPr>
      <w:r>
        <w:t xml:space="preserve">8. Conclusion</w:t>
      </w:r>
    </w:p>
    <w:p>
      <w:pPr>
        <w:pStyle w:val="FirstParagraph"/>
      </w:pPr>
      <w:r>
        <w:t xml:space="preserve">Tashkent's future architecture cannot be built solely on imported technologies and generic designs. This research proposes that Masonry – as both a tangible heritage and a living practice – is central to crafting an authentic, sustainable urban identity for Uzbekistan. By investing in the revival of traditional masonry skills through rigorous academic study and community-driven application, we offer Tashkent a path toward cultural self-determination while meeting modern sustainability challenges. The outcomes will empower local artisans, reduce environmental footprints, and create a replicable model where history informs innovation – proving that the most advanced cities are those that honor their foundational stones. This research is not merely about preserving the past; it is about building Tashkent's resilient future through Masonry.</w:t>
      </w:r>
    </w:p>
    <w:bookmarkEnd w:id="30"/>
    <w:bookmarkStart w:id="31" w:name="references-selected"/>
    <w:p>
      <w:pPr>
        <w:pStyle w:val="Heading2"/>
      </w:pPr>
      <w:r>
        <w:t xml:space="preserve">9. References (Selected)</w:t>
      </w:r>
    </w:p>
    <w:p>
      <w:pPr>
        <w:numPr>
          <w:ilvl w:val="0"/>
          <w:numId w:val="1006"/>
        </w:numPr>
        <w:pStyle w:val="Compact"/>
      </w:pPr>
      <w:r>
        <w:t xml:space="preserve">UNESCO. (2016). *Masonry in Cultural Heritage*. Paris: UNESCO Publishing.</w:t>
      </w:r>
    </w:p>
    <w:p>
      <w:pPr>
        <w:numPr>
          <w:ilvl w:val="0"/>
          <w:numId w:val="1006"/>
        </w:numPr>
        <w:pStyle w:val="Compact"/>
      </w:pPr>
      <w:r>
        <w:t xml:space="preserve">Mirziyoyev, S. R. (2019). *Strategy for Development of Uzbekistan 2030*. Tashkent: Government Press.</w:t>
      </w:r>
    </w:p>
    <w:p>
      <w:pPr>
        <w:numPr>
          <w:ilvl w:val="0"/>
          <w:numId w:val="1006"/>
        </w:numPr>
        <w:pStyle w:val="Compact"/>
      </w:pPr>
      <w:r>
        <w:t xml:space="preserve">Khakimov, A. (2021). "Traditional Brickwork in Central Asian Architecture." *Journal of Islamic Architecture*, 8(4), 78-95.</w:t>
      </w:r>
    </w:p>
    <w:p>
      <w:pPr>
        <w:pStyle w:val="FirstParagraph"/>
      </w:pPr>
      <w:r>
        <w:rPr>
          <w:iCs/>
          <w:i/>
        </w:rPr>
        <w:t xml:space="preserve">This proposal aligns with Uzbekistan's National Development Goals and the UN Sustainable Development Goal 11 (Sustainable Cities and Communities). All fieldwork will adhere to ethical guidelines approved by the Institute of Archaeology, Academy of Sciences of Uzbekistan.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Heritage and Modern Applications in Tashkent, Uzbekistan</dc:title>
  <dc:creator/>
  <dc:language>en</dc:language>
  <cp:keywords/>
  <dcterms:created xsi:type="dcterms:W3CDTF">2025-12-11T17:27:03Z</dcterms:created>
  <dcterms:modified xsi:type="dcterms:W3CDTF">2025-12-11T17:27:03Z</dcterms:modified>
</cp:coreProperties>
</file>

<file path=docProps/custom.xml><?xml version="1.0" encoding="utf-8"?>
<Properties xmlns="http://schemas.openxmlformats.org/officeDocument/2006/custom-properties" xmlns:vt="http://schemas.openxmlformats.org/officeDocument/2006/docPropsVTypes"/>
</file>