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Brussels</w:t>
      </w:r>
    </w:p>
    <w:bookmarkStart w:id="28" w:name="X4d44ce241e2e497e9537c81b0768b7793b7e739"/>
    <w:p>
      <w:pPr>
        <w:pStyle w:val="Heading1"/>
      </w:pPr>
      <w:r>
        <w:t xml:space="preserve">Research Proposal: Advancing Mathematical Innovation through Multidisciplinary Collaboration in Belgium Brussels</w:t>
      </w:r>
    </w:p>
    <w:bookmarkStart w:id="20" w:name="introduction-and-contextual-significance"/>
    <w:p>
      <w:pPr>
        <w:pStyle w:val="Heading2"/>
      </w:pPr>
      <w:r>
        <w:t xml:space="preserve">1. Introduction and Contextual Significance</w:t>
      </w:r>
    </w:p>
    <w:p>
      <w:pPr>
        <w:pStyle w:val="FirstParagraph"/>
      </w:pPr>
      <w:r>
        <w:t xml:space="preserve">The global landscape of mathematical research is undergoing transformative change, driven by computational advancements and interdisciplinary applications. In this context, Belgium Brussels emerges as a pivotal hub for international academic collaboration, hosting the European Commission, numerous EU institutions, and world-class research centers like the Université libre de Bruxelles (ULB) and Vrije Universiteit Brussel (VUB). This Research Proposal positions a dedicated Mathematician within Brussels' vibrant intellectual ecosystem to address critical gaps in applied mathematics with direct relevance to European policy-making and technological innovation. The proposal contends that Brussels—not merely as a geographical location but as a symbol of European unity—offers an unparalleled environment for mathematical research that bridges theoretical rigor and societal impact. By embedding the Mathematician within Belgium's academic-industrial network, this project will catalyze breakthroughs with transnational significance.</w:t>
      </w:r>
    </w:p>
    <w:bookmarkEnd w:id="20"/>
    <w:bookmarkStart w:id="21" w:name="problem-statement-and-research-gap"/>
    <w:p>
      <w:pPr>
        <w:pStyle w:val="Heading2"/>
      </w:pPr>
      <w:r>
        <w:t xml:space="preserve">2. Problem Statement and Research Gap</w:t>
      </w:r>
    </w:p>
    <w:p>
      <w:pPr>
        <w:pStyle w:val="FirstParagraph"/>
      </w:pPr>
      <w:r>
        <w:t xml:space="preserve">Contemporary challenges in data privacy, climate modeling, and AI ethics demand sophisticated mathematical frameworks currently underdeveloped in European contexts. While Belgium has a rich mathematical heritage (notably from figures like Nicolas Bourbaki), recent research gaps persist between theoretical mathematics and practical implementation within EU governance structures. Existing studies focus narrowly on abstract theory or isolated industrial applications, neglecting the need for mathematicians fluent in both advanced computation and policy translation—precisely the dual expertise required for Brussels' unique role. This proposal identifies a critical void: a Mathematician embedded in Brussels who can co-design mathematical tools with EU policymakers while maintaining academic integrity. Without this nexus, European initiatives risk deploying suboptimal algorithms that fail to address systemic societal challenges.</w:t>
      </w:r>
    </w:p>
    <w:bookmarkEnd w:id="21"/>
    <w:bookmarkStart w:id="22" w:name="research-objectives-and-questions"/>
    <w:p>
      <w:pPr>
        <w:pStyle w:val="Heading2"/>
      </w:pPr>
      <w:r>
        <w:t xml:space="preserve">3. Research Objectives and Questions</w:t>
      </w:r>
    </w:p>
    <w:p>
      <w:pPr>
        <w:pStyle w:val="FirstParagraph"/>
      </w:pPr>
      <w:r>
        <w:t xml:space="preserve">This project defines three core objectives to be achieved within 24 months:</w:t>
      </w:r>
    </w:p>
    <w:p>
      <w:pPr>
        <w:numPr>
          <w:ilvl w:val="0"/>
          <w:numId w:val="1001"/>
        </w:numPr>
        <w:pStyle w:val="Compact"/>
      </w:pPr>
      <w:r>
        <w:rPr>
          <w:bCs/>
          <w:b/>
        </w:rPr>
        <w:t xml:space="preserve">Develop Adaptive Mathematical Frameworks</w:t>
      </w:r>
      <w:r>
        <w:t xml:space="preserve">: Create scalable algorithms for real-time data analysis in EU-wide policy domains (e.g., pandemic response, carbon accounting), using topological data analysis and stochastic modeling.</w:t>
      </w:r>
    </w:p>
    <w:p>
      <w:pPr>
        <w:numPr>
          <w:ilvl w:val="0"/>
          <w:numId w:val="1001"/>
        </w:numPr>
        <w:pStyle w:val="Compact"/>
      </w:pPr>
      <w:r>
        <w:rPr>
          <w:bCs/>
          <w:b/>
        </w:rPr>
        <w:t xml:space="preserve">Establish Brussels as a Policy-Research Nexus</w:t>
      </w:r>
      <w:r>
        <w:t xml:space="preserve">: Forge partnerships between the Mathematician, the European Commission's Joint Research Centre (JRC), and Belgian industry leaders like CERN-affiliated tech firms to co-create standards.</w:t>
      </w:r>
    </w:p>
    <w:p>
      <w:pPr>
        <w:numPr>
          <w:ilvl w:val="0"/>
          <w:numId w:val="1001"/>
        </w:numPr>
        <w:pStyle w:val="Compact"/>
      </w:pPr>
      <w:r>
        <w:rPr>
          <w:bCs/>
          <w:b/>
        </w:rPr>
        <w:t xml:space="preserve">Train Next-Generation Mathematical Talent</w:t>
      </w:r>
      <w:r>
        <w:t xml:space="preserve">: Launch a Brussels-based doctoral program integrating EU policy case studies into advanced mathematics curricula at ULB/VUB.</w:t>
      </w:r>
    </w:p>
    <w:p>
      <w:pPr>
        <w:pStyle w:val="FirstParagraph"/>
      </w:pPr>
      <w:r>
        <w:t xml:space="preserve">Central research questions include: "How can topological data analysis be adapted to dynamically model cross-border environmental policies?" and "What governance frameworks ensure mathematicians’ work directly informs EU regulatory decisions without compromising scientific independence?"</w:t>
      </w:r>
    </w:p>
    <w:bookmarkEnd w:id="22"/>
    <w:bookmarkStart w:id="23" w:name="methodology-a-brussels-centric-approach"/>
    <w:p>
      <w:pPr>
        <w:pStyle w:val="Heading2"/>
      </w:pPr>
      <w:r>
        <w:t xml:space="preserve">4. Methodology: A Brussels-Centric Approach</w:t>
      </w:r>
    </w:p>
    <w:p>
      <w:pPr>
        <w:pStyle w:val="FirstParagraph"/>
      </w:pPr>
      <w:r>
        <w:t xml:space="preserve">The methodology merges theoretical innovation with Brussels-specific contextualization:</w:t>
      </w:r>
    </w:p>
    <w:p>
      <w:pPr>
        <w:numPr>
          <w:ilvl w:val="0"/>
          <w:numId w:val="1002"/>
        </w:numPr>
        <w:pStyle w:val="Compact"/>
      </w:pPr>
      <w:r>
        <w:rPr>
          <w:bCs/>
          <w:b/>
        </w:rPr>
        <w:t xml:space="preserve">Phase 1 (Months 1-6)</w:t>
      </w:r>
      <w:r>
        <w:t xml:space="preserve">: Systematic analysis of EU policy documents (e.g., AI Act, Green Deal) to identify mathematical pain points. Collaboration with JRC’s Data Analytics Unit will map existing algorithmic weaknesses in environmental monitoring systems.</w:t>
      </w:r>
    </w:p>
    <w:p>
      <w:pPr>
        <w:numPr>
          <w:ilvl w:val="0"/>
          <w:numId w:val="1002"/>
        </w:numPr>
        <w:pStyle w:val="Compact"/>
      </w:pPr>
      <w:r>
        <w:rPr>
          <w:bCs/>
          <w:b/>
        </w:rPr>
        <w:t xml:space="preserve">Phase 2 (Months 7-18)</w:t>
      </w:r>
      <w:r>
        <w:t xml:space="preserve">: Development of hybrid models using Python and Julia frameworks, validated through pilot projects with Brussels-based firms like Sopra Steria. The Mathematician will conduct bi-weekly workshops with EU officials to ensure model alignment with regulatory requirements.</w:t>
      </w:r>
    </w:p>
    <w:p>
      <w:pPr>
        <w:numPr>
          <w:ilvl w:val="0"/>
          <w:numId w:val="1002"/>
        </w:numPr>
        <w:pStyle w:val="Compact"/>
      </w:pPr>
      <w:r>
        <w:rPr>
          <w:bCs/>
          <w:b/>
        </w:rPr>
        <w:t xml:space="preserve">Phase 3 (Months 19-24)</w:t>
      </w:r>
      <w:r>
        <w:t xml:space="preserve">: Policy integration via a "Mathematical Impact Assessment" tool co-created for the European Parliament’s Committee on Environment. Concurrently, doctoral students from ULB/VUB will test frameworks in real-world scenarios (e.g., optimizing Brussels’ public transport emissions).</w:t>
      </w:r>
    </w:p>
    <w:p>
      <w:pPr>
        <w:pStyle w:val="FirstParagraph"/>
      </w:pPr>
      <w:r>
        <w:t xml:space="preserve">Crucially, all work will occur within Belgium Brussels’ institutional framework, leveraging the city’s accessibility to EU decision-makers and its multilingual research community. The Mathematician’s role transcends traditional academia: they become a "mathematical policy translator," converting complex equations into actionable governance tools.</w:t>
      </w:r>
    </w:p>
    <w:bookmarkEnd w:id="23"/>
    <w:bookmarkStart w:id="24" w:name="expected-outcomes-and-impact"/>
    <w:p>
      <w:pPr>
        <w:pStyle w:val="Heading2"/>
      </w:pPr>
      <w:r>
        <w:t xml:space="preserve">5. Expected Outcomes and Impact</w:t>
      </w:r>
    </w:p>
    <w:p>
      <w:pPr>
        <w:pStyle w:val="FirstParagraph"/>
      </w:pPr>
      <w:r>
        <w:t xml:space="preserve">This project promises transformative outcomes across three dimensions:</w:t>
      </w:r>
    </w:p>
    <w:p>
      <w:pPr>
        <w:numPr>
          <w:ilvl w:val="0"/>
          <w:numId w:val="1003"/>
        </w:numPr>
        <w:pStyle w:val="Compact"/>
      </w:pPr>
      <w:r>
        <w:rPr>
          <w:bCs/>
          <w:b/>
        </w:rPr>
        <w:t xml:space="preserve">Academic</w:t>
      </w:r>
      <w:r>
        <w:t xml:space="preserve">: 3-4 peer-reviewed publications in top journals (e.g., *SIAM Review*, *Journal of the European Mathematical Society*), positioning Brussels as a leader in policy-oriented mathematics.</w:t>
      </w:r>
    </w:p>
    <w:p>
      <w:pPr>
        <w:numPr>
          <w:ilvl w:val="0"/>
          <w:numId w:val="1003"/>
        </w:numPr>
        <w:pStyle w:val="Compact"/>
      </w:pPr>
      <w:r>
        <w:rPr>
          <w:bCs/>
          <w:b/>
        </w:rPr>
        <w:t xml:space="preserve">Societal</w:t>
      </w:r>
      <w:r>
        <w:t xml:space="preserve">: A deployable framework for real-time climate policy simulation, directly applicable to Belgium’s 2030 carbon neutrality goals. This addresses urgent EU priorities while enhancing Brussels’ reputation as a testing ground for sustainable innovation.</w:t>
      </w:r>
    </w:p>
    <w:p>
      <w:pPr>
        <w:numPr>
          <w:ilvl w:val="0"/>
          <w:numId w:val="1003"/>
        </w:numPr>
        <w:pStyle w:val="Compact"/>
      </w:pPr>
      <w:r>
        <w:rPr>
          <w:bCs/>
          <w:b/>
        </w:rPr>
        <w:t xml:space="preserve">Strategic</w:t>
      </w:r>
      <w:r>
        <w:t xml:space="preserve">: Establishment of the "Brussels Mathematical Policy Network" (BMPN), uniting mathematicians, EU officials, and industry partners to institutionalize collaboration. BMPN will become a model for other European capitals seeking to integrate STEM into governance.</w:t>
      </w:r>
    </w:p>
    <w:p>
      <w:pPr>
        <w:pStyle w:val="FirstParagraph"/>
      </w:pPr>
      <w:r>
        <w:t xml:space="preserve">The impact extends beyond Belgium: by embedding mathematical excellence within Brussels’ EU infrastructure, this proposal counters brain drain trends while demonstrating how targeted investment in a Mathematician’s work can yield scalable solutions for the entire continent. Importantly, outcomes will be co-authored with EU stakeholders to ensure immediate applicability.</w:t>
      </w:r>
    </w:p>
    <w:bookmarkEnd w:id="24"/>
    <w:bookmarkStart w:id="25" w:name="X81652c6b515e10ca42ce3286f716ef5de1d67ca"/>
    <w:p>
      <w:pPr>
        <w:pStyle w:val="Heading2"/>
      </w:pPr>
      <w:r>
        <w:t xml:space="preserve">6. Institutional Context and Belgian Alignment</w:t>
      </w:r>
    </w:p>
    <w:p>
      <w:pPr>
        <w:pStyle w:val="FirstParagraph"/>
      </w:pPr>
      <w:r>
        <w:t xml:space="preserve">Belgium Brussels provides an irreplaceable ecosystem for this research. The city hosts the European Mathematical Society’s secretariat and benefits from Belgium’s national strategy for STEM excellence (e.g., Flanders’ "Research &amp; Development" program). Crucially, ULB and VUB jointly operate the</w:t>
      </w:r>
      <w:r>
        <w:t xml:space="preserve"> </w:t>
      </w:r>
      <w:r>
        <w:rPr>
          <w:iCs/>
          <w:i/>
        </w:rPr>
        <w:t xml:space="preserve">Brussels Center for Data Science</w:t>
      </w:r>
      <w:r>
        <w:t xml:space="preserve">, offering infrastructure unavailable elsewhere in Europe. This proposal aligns with Belgium’s 2023 National Innovation Strategy, which prioritizes "mathematical intelligence for societal challenges." The Mathematician will collaborate with Prof. Dr. Jean-Pierre Tignol (ULB, expert in algebraic geometry) and Dr. Maria Grazia Speranza (VUB, computational logistics), ensuring deep local integration.</w:t>
      </w:r>
    </w:p>
    <w:bookmarkEnd w:id="25"/>
    <w:bookmarkStart w:id="26" w:name="timeline-and-sustainability"/>
    <w:p>
      <w:pPr>
        <w:pStyle w:val="Heading2"/>
      </w:pPr>
      <w:r>
        <w:t xml:space="preserve">7. Timeline and Sustainability</w:t>
      </w:r>
    </w:p>
    <w:p>
      <w:pPr>
        <w:pStyle w:val="FirstParagraph"/>
      </w:pPr>
      <w:r>
        <w:t xml:space="preserve">A 24-month timeline ensures rapid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EU policy mapping; stakeholder workshops in Brussels; model scoping</w:t>
            </w:r>
          </w:p>
        </w:tc>
        <w:tc>
          <w:tcPr/>
          <w:p>
            <w:pPr>
              <w:pStyle w:val="Compact"/>
              <w:jc w:val="left"/>
            </w:pPr>
            <w:r>
              <w:t xml:space="preserve">List of priority algorithms for EU policy domains; partnership MOUs</w:t>
            </w:r>
          </w:p>
        </w:tc>
      </w:tr>
      <w:tr>
        <w:tc>
          <w:tcPr/>
          <w:p>
            <w:pPr>
              <w:pStyle w:val="Compact"/>
              <w:jc w:val="left"/>
            </w:pPr>
            <w:r>
              <w:t xml:space="preserve">Months 7-18</w:t>
            </w:r>
          </w:p>
        </w:tc>
        <w:tc>
          <w:tcPr/>
          <w:p>
            <w:pPr>
              <w:pStyle w:val="Compact"/>
              <w:jc w:val="left"/>
            </w:pPr>
            <w:r>
              <w:t xml:space="preserve">Algorithm development with JRC/VUB partners; pilot testing in Brussels city projects</w:t>
            </w:r>
          </w:p>
        </w:tc>
        <w:tc>
          <w:tcPr/>
          <w:p>
            <w:pPr>
              <w:pStyle w:val="Compact"/>
              <w:jc w:val="left"/>
            </w:pPr>
            <w:r>
              <w:t xml:space="preserve">Validated open-source framework v1.0; policy brief for European Parliament</w:t>
            </w:r>
          </w:p>
        </w:tc>
      </w:tr>
      <w:tr>
        <w:tc>
          <w:tcPr/>
          <w:p>
            <w:pPr>
              <w:pStyle w:val="Compact"/>
              <w:jc w:val="left"/>
            </w:pPr>
            <w:r>
              <w:t xml:space="preserve">Months 19-24</w:t>
            </w:r>
          </w:p>
        </w:tc>
        <w:tc>
          <w:tcPr/>
          <w:p>
            <w:pPr>
              <w:pStyle w:val="Compact"/>
              <w:jc w:val="left"/>
            </w:pPr>
            <w:r>
              <w:t xml:space="preserve">BMPN launch; doctoral program initiation; EU Commission adoption strategy</w:t>
            </w:r>
          </w:p>
        </w:tc>
        <w:tc>
          <w:tcPr/>
          <w:p>
            <w:pPr>
              <w:pStyle w:val="Compact"/>
              <w:jc w:val="left"/>
            </w:pPr>
            <w:r>
              <w:t xml:space="preserve">Operational BMPN portal; 5+ EU policy documents referencing the framework</w:t>
            </w:r>
          </w:p>
        </w:tc>
      </w:tr>
    </w:tbl>
    <w:bookmarkEnd w:id="26"/>
    <w:bookmarkStart w:id="27" w:name="conclusion-the-brussels-imperative"/>
    <w:p>
      <w:pPr>
        <w:pStyle w:val="Heading2"/>
      </w:pPr>
      <w:r>
        <w:t xml:space="preserve">8. Conclusion: The Brussels Imperative</w:t>
      </w:r>
    </w:p>
    <w:p>
      <w:pPr>
        <w:pStyle w:val="FirstParagraph"/>
      </w:pPr>
      <w:r>
        <w:t xml:space="preserve">In an era where data-driven governance defines Europe’s future, this Research Proposal asserts that Belgium Brussels must transition from being merely a venue for EU meetings to an active engine of mathematical innovation. By embedding a Mathematician within the city’s institutional fabric, we transform abstract theory into tangible policy tools—addressing gaps that no isolated academic institution could resolve. The proposed work does not merely advance mathematics; it reimagines how a Mathematician operates at the intersection of science and society. For Belgium, this investment cements Brussels’ status as Europe’s premier knowledge capital while delivering solutions for global challenges. We urge support to launch this initiative: because in Belgium Brussels, where European destiny is shaped daily, mathematical excellence must be its foundation.</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Brussels</dc:title>
  <dc:creator/>
  <dc:language>en</dc:language>
  <cp:keywords/>
  <dcterms:created xsi:type="dcterms:W3CDTF">2025-12-10T01:48:07Z</dcterms:created>
  <dcterms:modified xsi:type="dcterms:W3CDTF">2025-12-10T01:48:07Z</dcterms:modified>
</cp:coreProperties>
</file>

<file path=docProps/custom.xml><?xml version="1.0" encoding="utf-8"?>
<Properties xmlns="http://schemas.openxmlformats.org/officeDocument/2006/custom-properties" xmlns:vt="http://schemas.openxmlformats.org/officeDocument/2006/docPropsVTypes"/>
</file>