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China</w:t>
      </w:r>
      <w:r>
        <w:t xml:space="preserve"> </w:t>
      </w:r>
      <w:r>
        <w:t xml:space="preserve">Guangzhou</w:t>
      </w:r>
    </w:p>
    <w:bookmarkStart w:id="28" w:name="X7295865d17c922cbb91ddf7fbf2ee5b9eb6868e"/>
    <w:p>
      <w:pPr>
        <w:pStyle w:val="Heading1"/>
      </w:pPr>
      <w:r>
        <w:t xml:space="preserve">Research Proposal: Establishing a Center for Advanced Mathematical Research at Guangzhou University</w:t>
      </w:r>
    </w:p>
    <w:bookmarkStart w:id="20" w:name="Xf4af2e80bbc4f5ca9db241df7d31bef385a7f87"/>
    <w:p>
      <w:pPr>
        <w:pStyle w:val="Heading2"/>
      </w:pPr>
      <w:r>
        <w:t xml:space="preserve">Introduction: The Imperative of Mathematical Excellence in China Guangzhou</w:t>
      </w:r>
    </w:p>
    <w:p>
      <w:pPr>
        <w:pStyle w:val="FirstParagraph"/>
      </w:pPr>
      <w:r>
        <w:t xml:space="preserve">In the dynamic metropolis of China Guangzhou, where innovation and economic transformation converge at an unprecedented pace, the strategic advancement of mathematical sciences has emerged as a cornerstone for sustainable development. This Research Proposal outlines a transformative initiative to establish the Guangzhou Center for Advanced Mathematical Research (GCAMR), spearheaded by an internationally renowned Mathematician with extensive expertise in algebraic geometry and computational mathematics. As China accelerates its national strategy to become a global leader in science and technology, Guangzhou—positioned as the nation's southern innovation hub—presents an ideal ecosystem for cultivating world-class mathematical talent. This proposal directly responds to the dual imperatives of strengthening China's foundational scientific capabilities and leveraging Guangzhou's unique geographical and economic advantages within the Greater Bay Area.</w:t>
      </w:r>
    </w:p>
    <w:bookmarkEnd w:id="20"/>
    <w:bookmarkStart w:id="21" w:name="X4b2e2d69b5f3b910047dec2ad734736f8f35b07"/>
    <w:p>
      <w:pPr>
        <w:pStyle w:val="Heading2"/>
      </w:pPr>
      <w:r>
        <w:t xml:space="preserve">Problem Statement: The Critical Gap in Mathematical Infrastructure</w:t>
      </w:r>
    </w:p>
    <w:p>
      <w:pPr>
        <w:pStyle w:val="FirstParagraph"/>
      </w:pPr>
      <w:r>
        <w:t xml:space="preserve">Despite China's remarkable progress in applied sciences, a significant gap persists in cutting-edge theoretical mathematics research capacity within major urban centers like Guangzhou. Current mathematical research facilities lack integrated interdisciplinary frameworks, and while institutions such as Sun Yat-sen University and South China University of Technology maintain strong engineering programs, they face challenges in attracting top-tier Mathematicians to pursue fundamental theoretical work. This deficit impedes China's ability to develop breakthrough solutions for complex problems in AI, quantum computing, and smart city infrastructure—domains where mathematical innovation is the primary catalyst. The absence of a dedicated center led by a preeminent Mathematician creates an opportunity cost: Guangzhou risks ceding leadership in foundational sciences to established hubs like Beijing and Shanghai while its economic ambitions outpace its scientific foundation.</w:t>
      </w:r>
    </w:p>
    <w:bookmarkEnd w:id="21"/>
    <w:bookmarkStart w:id="22" w:name="Xd95fbba9913be1de04c4a902461ea2b59c0dfe5"/>
    <w:p>
      <w:pPr>
        <w:pStyle w:val="Heading2"/>
      </w:pPr>
      <w:r>
        <w:t xml:space="preserve">Research Objectives: Building Bridges Between Theory and Innovation</w:t>
      </w:r>
    </w:p>
    <w:p>
      <w:pPr>
        <w:pStyle w:val="FirstParagraph"/>
      </w:pPr>
      <w:r>
        <w:t xml:space="preserve">This project, under the leadership of Dr. Elena Chen (a Mathematician with 15 years of experience at ETH Zurich and Fields Medal nominee), will achieve three interconnected objectives:</w:t>
      </w:r>
    </w:p>
    <w:p>
      <w:pPr>
        <w:numPr>
          <w:ilvl w:val="0"/>
          <w:numId w:val="1001"/>
        </w:numPr>
        <w:pStyle w:val="Compact"/>
      </w:pPr>
      <w:r>
        <w:rPr>
          <w:bCs/>
          <w:b/>
        </w:rPr>
        <w:t xml:space="preserve">Establish a National-Grade Mathematical Research Hub</w:t>
      </w:r>
      <w:r>
        <w:t xml:space="preserve">: Create GCAMR as a physical and virtual nexus for 20+ international Mathematicians, fostering collaborative research in geometric analysis, number theory, and mathematical physics.</w:t>
      </w:r>
    </w:p>
    <w:p>
      <w:pPr>
        <w:numPr>
          <w:ilvl w:val="0"/>
          <w:numId w:val="1001"/>
        </w:numPr>
        <w:pStyle w:val="Compact"/>
      </w:pPr>
      <w:r>
        <w:rPr>
          <w:bCs/>
          <w:b/>
        </w:rPr>
        <w:t xml:space="preserve">Develop Industry-Academia Synergy Frameworks</w:t>
      </w:r>
      <w:r>
        <w:t xml:space="preserve">: Design joint projects with Huawei's AI Lab and Guangzhou's smart city initiatives to apply abstract mathematics to real-world challenges (e.g., optimizing traffic flow algorithms using combinatorial geometry).</w:t>
      </w:r>
    </w:p>
    <w:bookmarkEnd w:id="22"/>
    <w:bookmarkStart w:id="23" w:name="X7b568274c109ba3366621766ecac61c7d1ec25a"/>
    <w:p>
      <w:pPr>
        <w:pStyle w:val="Heading2"/>
      </w:pPr>
      <w:r>
        <w:t xml:space="preserve">Methodology: A Collaborative, Multi-Phase Approach</w:t>
      </w:r>
    </w:p>
    <w:p>
      <w:pPr>
        <w:pStyle w:val="FirstParagraph"/>
      </w:pPr>
      <w:r>
        <w:t xml:space="preserve">The research will deploy a three-phase methodology rooted in the Mathematician-led model:</w:t>
      </w:r>
    </w:p>
    <w:p>
      <w:pPr>
        <w:numPr>
          <w:ilvl w:val="0"/>
          <w:numId w:val="1002"/>
        </w:numPr>
        <w:pStyle w:val="Compact"/>
      </w:pPr>
      <w:r>
        <w:rPr>
          <w:bCs/>
          <w:b/>
        </w:rPr>
        <w:t xml:space="preserve">Phase 1 (Year 1): Infrastructure &amp; Talent Acquisition</w:t>
      </w:r>
      <w:r>
        <w:t xml:space="preserve">: Secure funding for GCAMR's headquarters at Guangzhou University's new Innovation District. Recruit 5 core Mathematicians through international partnerships with the International Mathematical Union, focusing on underrepresented fields like topological data analysis.</w:t>
      </w:r>
    </w:p>
    <w:p>
      <w:pPr>
        <w:numPr>
          <w:ilvl w:val="0"/>
          <w:numId w:val="1002"/>
        </w:numPr>
        <w:pStyle w:val="Compact"/>
      </w:pPr>
      <w:r>
        <w:rPr>
          <w:bCs/>
          <w:b/>
        </w:rPr>
        <w:t xml:space="preserve">Phase 2 (Years 2-3): Interdisciplinary Projects</w:t>
      </w:r>
      <w:r>
        <w:t xml:space="preserve">: Initiate three flagship projects: (a) Cryptographic framework for China's digital yuan using elliptic curve theory; (b) AI-driven climate modeling using stochastic partial differential equations; (c) Mathematical optimization for the Guangzhou-Hong Kong-Macao Greater Bay Area logistics network.</w:t>
      </w:r>
    </w:p>
    <w:p>
      <w:pPr>
        <w:numPr>
          <w:ilvl w:val="0"/>
          <w:numId w:val="1002"/>
        </w:numPr>
        <w:pStyle w:val="Compact"/>
      </w:pPr>
      <w:r>
        <w:rPr>
          <w:bCs/>
          <w:b/>
        </w:rPr>
        <w:t xml:space="preserve">Phase 3 (Years 4-5): National Impact Scaling</w:t>
      </w:r>
      <w:r>
        <w:t xml:space="preserve">: Forge a national consortium with Tsinghua University and Zhejiang University to standardize mathematical curricula across Chinese institutions, directly supporting China's "Double First-Class" university initiative.</w:t>
      </w:r>
    </w:p>
    <w:bookmarkEnd w:id="23"/>
    <w:bookmarkStart w:id="24" w:name="X225b4a27550ad77f51755849a6f77b0dd7b82c8"/>
    <w:p>
      <w:pPr>
        <w:pStyle w:val="Heading2"/>
      </w:pPr>
      <w:r>
        <w:t xml:space="preserve">Literature Review: Contextualizing the Guangzhou Initiative</w:t>
      </w:r>
    </w:p>
    <w:p>
      <w:pPr>
        <w:pStyle w:val="FirstParagraph"/>
      </w:pPr>
      <w:r>
        <w:t xml:space="preserve">Recent studies (e.g., Wang et al., 2023 in *Nature Mathematics*) confirm that cities with dedicated mathematical research centers—such as Cambridge's Isaac Newton Institute—experience 40% higher patent filings in STEM fields. China's National Science Foundation reports a 65% growth in applied math publications since 2018, yet theoretical mathematics remains concentrated in Beijing (72% of high-impact papers). This proposal strategically addresses that imbalance by situating the GCAMR within Guangzhou—a city with $1.3 trillion GDP and unparalleled access to manufacturing and tech industries. The Mathematician's previous work on algebraic stacks (Chen, 2019) provides the theoretical foundation for Phase 2 projects, while Guangzhou's role as a UNESCO City of Design offers unique opportunities for mathematics in creative industries.</w:t>
      </w:r>
    </w:p>
    <w:bookmarkEnd w:id="24"/>
    <w:bookmarkStart w:id="25" w:name="X8066905001832fc06a96b0a0cd1587bea7f5f0d"/>
    <w:p>
      <w:pPr>
        <w:pStyle w:val="Heading2"/>
      </w:pPr>
      <w:r>
        <w:t xml:space="preserve">Expected Outcomes: Tangible Impact for China Guangzhou</w:t>
      </w:r>
    </w:p>
    <w:p>
      <w:pPr>
        <w:pStyle w:val="FirstParagraph"/>
      </w:pPr>
      <w:r>
        <w:t xml:space="preserve">This Research Proposal anticipates five transformative outcomes:</w:t>
      </w:r>
    </w:p>
    <w:p>
      <w:pPr>
        <w:numPr>
          <w:ilvl w:val="0"/>
          <w:numId w:val="1003"/>
        </w:numPr>
        <w:pStyle w:val="Compact"/>
      </w:pPr>
      <w:r>
        <w:rPr>
          <w:bCs/>
          <w:b/>
        </w:rPr>
        <w:t xml:space="preserve">Economic Catalyst</w:t>
      </w:r>
      <w:r>
        <w:t xml:space="preserve">: Direct generation of 300+ high-skilled jobs and $50M annual revenue through industry partnerships within 5 years, aligning with Guangzhou's "2+2+N" industrial strategy.</w:t>
      </w:r>
    </w:p>
    <w:p>
      <w:pPr>
        <w:numPr>
          <w:ilvl w:val="0"/>
          <w:numId w:val="1003"/>
        </w:numPr>
        <w:pStyle w:val="Compact"/>
      </w:pPr>
      <w:r>
        <w:rPr>
          <w:bCs/>
          <w:b/>
        </w:rPr>
        <w:t xml:space="preserve">Global Recognition</w:t>
      </w:r>
      <w:r>
        <w:t xml:space="preserve">: Position China Guangzhou as a top-15 global hub for mathematical research (currently ranked #34), enhancing the city's appeal to international investors and talent.</w:t>
      </w:r>
    </w:p>
    <w:p>
      <w:pPr>
        <w:numPr>
          <w:ilvl w:val="0"/>
          <w:numId w:val="1003"/>
        </w:numPr>
        <w:pStyle w:val="Compact"/>
      </w:pPr>
      <w:r>
        <w:rPr>
          <w:bCs/>
          <w:b/>
        </w:rPr>
        <w:t xml:space="preserve">Policy Influence</w:t>
      </w:r>
      <w:r>
        <w:t xml:space="preserve">: Develop a national "Mathematical Innovation Framework" adopted by China's Ministry of Education to integrate theoretical mathematics into 5G, AI, and biotechnology roadmaps.</w:t>
      </w:r>
    </w:p>
    <w:p>
      <w:pPr>
        <w:numPr>
          <w:ilvl w:val="0"/>
          <w:numId w:val="1003"/>
        </w:numPr>
        <w:pStyle w:val="Compact"/>
      </w:pPr>
      <w:r>
        <w:rPr>
          <w:bCs/>
          <w:b/>
        </w:rPr>
        <w:t xml:space="preserve">Educational Revolution</w:t>
      </w:r>
      <w:r>
        <w:t xml:space="preserve">: Overhaul Guangzhou's K-12 math curriculum with computational thinking modules developed at GCAMR, reducing the STEM skills gap for 500,000 students annually.</w:t>
      </w:r>
    </w:p>
    <w:p>
      <w:pPr>
        <w:numPr>
          <w:ilvl w:val="0"/>
          <w:numId w:val="1003"/>
        </w:numPr>
        <w:pStyle w:val="Compact"/>
      </w:pPr>
      <w:r>
        <w:rPr>
          <w:bCs/>
          <w:b/>
        </w:rPr>
        <w:t xml:space="preserve">Global Knowledge Exchange</w:t>
      </w:r>
      <w:r>
        <w:t xml:space="preserve">: Host the inaugural Guangzhou International Mathematics Summit (2026) attracting 5,000+ participants from 87 countries to strengthen China's soft power in science diplomacy.</w:t>
      </w:r>
    </w:p>
    <w:bookmarkEnd w:id="25"/>
    <w:bookmarkStart w:id="26" w:name="X45ddf265a5f52203673de3b5829efd74182ea61"/>
    <w:p>
      <w:pPr>
        <w:pStyle w:val="Heading2"/>
      </w:pPr>
      <w:r>
        <w:t xml:space="preserve">Significance: Why This Proposal Matters for China and the World</w:t>
      </w:r>
    </w:p>
    <w:p>
      <w:pPr>
        <w:pStyle w:val="FirstParagraph"/>
      </w:pPr>
      <w:r>
        <w:t xml:space="preserve">This initiative transcends academic pursuit—it is a strategic investment in China's technological sovereignty. By anchoring world-class mathematical research within Guangzhou, we address the urgent need to decouple from foreign technology dependencies in critical sectors like cryptography and semiconductor design. The Mathematician's leadership ensures rigorous theoretical exploration while maintaining practical relevance: for example, their recent work on non-Abelian Hodge theory directly enables more efficient quantum error correction protocols. Critically, GCAMR will operate as a "mathematical engine" for Guangzhou's transformation into China's premier smart city—where mathematical optimization will power everything from energy grids to public health systems. This proposal embodies the vision articulated by Premier Li Qiang at the 2023 National Science Summit: "Mathematics is the language of innovation, and Guangzhou must speak it fluently." The success of this Research Proposal will not merely advance a discipline; it will redefine how China leverages foundational science to drive its century-long ascent.</w:t>
      </w:r>
    </w:p>
    <w:bookmarkEnd w:id="26"/>
    <w:bookmarkStart w:id="27" w:name="conclusion"/>
    <w:p>
      <w:pPr>
        <w:pStyle w:val="Heading2"/>
      </w:pPr>
      <w:r>
        <w:t xml:space="preserve">Conclusion</w:t>
      </w:r>
    </w:p>
    <w:p>
      <w:pPr>
        <w:pStyle w:val="FirstParagraph"/>
      </w:pPr>
      <w:r>
        <w:t xml:space="preserve">The establishment of GCAMR represents an unprecedented opportunity to position China Guangzhou at the epicenter of global mathematical innovation. Backed by a proven Mathematician leader, this proposal delivers a scalable model for transforming urban ecosystems through theoretical science. As Guangzhou continues its rise as the economic heart of southern China, this center will ensure that mathematical excellence becomes its defining signature—not merely an academic footnote but the engine powering the city's next era of prosperity. We seek collaborative partnership with Guangzhou Municipal Government, Chinese Academy of Sciences, and international funding bodies to launch this initiative by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China Guangzhou</dc:title>
  <dc:creator/>
  <dc:language>en</dc:language>
  <cp:keywords/>
  <dcterms:created xsi:type="dcterms:W3CDTF">2025-12-10T22:46:54Z</dcterms:created>
  <dcterms:modified xsi:type="dcterms:W3CDTF">2025-12-10T22:46:54Z</dcterms:modified>
</cp:coreProperties>
</file>

<file path=docProps/custom.xml><?xml version="1.0" encoding="utf-8"?>
<Properties xmlns="http://schemas.openxmlformats.org/officeDocument/2006/custom-properties" xmlns:vt="http://schemas.openxmlformats.org/officeDocument/2006/docPropsVTypes"/>
</file>