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7" w:name="X8d7666f9f00b1e3ebd0bae7e1308844910947e1"/>
    <w:p>
      <w:pPr>
        <w:pStyle w:val="Heading1"/>
      </w:pPr>
      <w:r>
        <w:t xml:space="preserve">Research Proposal: Pioneering Interdisciplinary Mathematical Innovation at the Heart of Japan Osaka</w:t>
      </w:r>
    </w:p>
    <w:bookmarkStart w:id="20" w:name="executive-summary"/>
    <w:p>
      <w:pPr>
        <w:pStyle w:val="Heading2"/>
      </w:pPr>
      <w:r>
        <w:t xml:space="preserve">Executive Summary</w:t>
      </w:r>
    </w:p>
    <w:p>
      <w:pPr>
        <w:pStyle w:val="FirstParagraph"/>
      </w:pPr>
      <w:r>
        <w:t xml:space="preserve">This Research Proposal outlines a groundbreaking initiative to position Osaka, Japan, as a global epicenter for transformative mathematical research. Focused on the critical role of the modern Mathematician in solving complex societal challenges, this project leverages Osaka's unique ecosystem of academia, industry, and government. By establishing a dedicated center for applied mathematics at Osaka University’s newly expanded Kansai Science City campus, we aim to catalyze innovation in data science, quantum computing, and sustainable urban systems. This initiative directly responds to Japan’s national strategy for technological sovereignty and positions the Mathematician as an indispensable architect of Japan Osaka's future prosperity.</w:t>
      </w:r>
    </w:p>
    <w:bookmarkEnd w:id="20"/>
    <w:bookmarkStart w:id="21" w:name="Xe059ae6b1dc056ac8ddb5b9f47cf03cc40947ea"/>
    <w:p>
      <w:pPr>
        <w:pStyle w:val="Heading2"/>
      </w:pPr>
      <w:r>
        <w:t xml:space="preserve">Background: The Imperative for Mathematical Leadership in Japan Osaka</w:t>
      </w:r>
    </w:p>
    <w:p>
      <w:pPr>
        <w:pStyle w:val="FirstParagraph"/>
      </w:pPr>
      <w:r>
        <w:t xml:space="preserve">Japan stands at a pivotal juncture where mathematical innovation is no longer peripheral but central to economic resilience and societal advancement. Osaka, as the nation’s second-largest metropolitan area and a historic hub of Japanese scholarship (home to institutions like Osaka University, established 1931), possesses unparalleled potential. However, current research often remains siloed between pure theory and industrial application. A dedicated Research Proposal addressing this gap is urgently needed. The role of the Mathematician must evolve beyond abstract exploration to become a collaborative problem-solver embedded within Osaka's thriving tech cluster—where companies like Panasonic, Fujitsu, and startups in the Osaka Innovation Hub are actively seeking advanced mathematical solutions.</w:t>
      </w:r>
    </w:p>
    <w:p>
      <w:pPr>
        <w:pStyle w:val="BodyText"/>
      </w:pPr>
      <w:r>
        <w:t xml:space="preserve">Japan Osaka’s strategic location within the Kansai region offers unique advantages: proximity to global supply chains, world-class infrastructure (e.g., Kansai International Airport), and deep cultural ties to Japan’s legacy of mathematical pioneers like Seki Takakazu. This Research Proposal directly harnesses Osaka’s identity as a city where tradition fuels innovation, creating an environment where the Mathematician thrives.</w:t>
      </w:r>
    </w:p>
    <w:bookmarkEnd w:id="21"/>
    <w:bookmarkStart w:id="22" w:name="research-objectives"/>
    <w:p>
      <w:pPr>
        <w:pStyle w:val="Heading2"/>
      </w:pPr>
      <w:r>
        <w:t xml:space="preserve">Research Objectives</w:t>
      </w:r>
    </w:p>
    <w:p>
      <w:pPr>
        <w:pStyle w:val="FirstParagraph"/>
      </w:pPr>
      <w:r>
        <w:t xml:space="preserve">This multi-year Research Proposal defines three core objectives:</w:t>
      </w:r>
    </w:p>
    <w:p>
      <w:pPr>
        <w:numPr>
          <w:ilvl w:val="0"/>
          <w:numId w:val="1001"/>
        </w:numPr>
        <w:pStyle w:val="Compact"/>
      </w:pPr>
      <w:r>
        <w:rPr>
          <w:bCs/>
          <w:b/>
        </w:rPr>
        <w:t xml:space="preserve">Develop Next-Generation Algorithms for Sustainable Urban Systems:</w:t>
      </w:r>
      <w:r>
        <w:t xml:space="preserve"> </w:t>
      </w:r>
      <w:r>
        <w:t xml:space="preserve">Collaborate with Osaka City’s Smart City initiative to create mathematical models optimizing energy grids, traffic flow, and disaster response using AI-driven differential equations. The Mathematician will work directly within Osaka’s municipal data platform.</w:t>
      </w:r>
    </w:p>
    <w:p>
      <w:pPr>
        <w:numPr>
          <w:ilvl w:val="0"/>
          <w:numId w:val="1001"/>
        </w:numPr>
        <w:pStyle w:val="Compact"/>
      </w:pPr>
      <w:r>
        <w:rPr>
          <w:bCs/>
          <w:b/>
        </w:rPr>
        <w:t xml:space="preserve">Establish a Quantum Computing Mathematics Consortium:</w:t>
      </w:r>
      <w:r>
        <w:t xml:space="preserve"> </w:t>
      </w:r>
      <w:r>
        <w:t xml:space="preserve">Partner with RIKEN's Osaka-based quantum labs and Osaka University to pioneer error-correcting codes for near-term quantum hardware. This requires the Mathematician to bridge abstract algebra and practical engineering—a synergy uniquely fostered in Japan Osaka’s academic-industry landscape.</w:t>
      </w:r>
    </w:p>
    <w:p>
      <w:pPr>
        <w:numPr>
          <w:ilvl w:val="0"/>
          <w:numId w:val="1001"/>
        </w:numPr>
        <w:pStyle w:val="Compact"/>
      </w:pPr>
      <w:r>
        <w:rPr>
          <w:bCs/>
          <w:b/>
        </w:rPr>
        <w:t xml:space="preserve">Build a National Talent Pipeline:</w:t>
      </w:r>
      <w:r>
        <w:t xml:space="preserve"> </w:t>
      </w:r>
      <w:r>
        <w:t xml:space="preserve">Create a joint PhD program with Kyushu University and Osaka Institute of Technology, training Mathematicians fluent in both Japanese academic rigor and global industrial needs. This addresses Japan’s critical shortage of applied mathematicians in key sectors like semiconductors.</w:t>
      </w:r>
    </w:p>
    <w:bookmarkEnd w:id="22"/>
    <w:bookmarkStart w:id="23" w:name="methodology-an-osaka-centric-approach"/>
    <w:p>
      <w:pPr>
        <w:pStyle w:val="Heading2"/>
      </w:pPr>
      <w:r>
        <w:t xml:space="preserve">Methodology: An Osaka-Centric Approach</w:t>
      </w:r>
    </w:p>
    <w:p>
      <w:pPr>
        <w:pStyle w:val="FirstParagraph"/>
      </w:pPr>
      <w:r>
        <w:t xml:space="preserve">The research strategy is deliberately designed around Japan Osaka’s ecosystem to maximize impact:</w:t>
      </w:r>
    </w:p>
    <w:p>
      <w:pPr>
        <w:numPr>
          <w:ilvl w:val="0"/>
          <w:numId w:val="1002"/>
        </w:numPr>
        <w:pStyle w:val="Compact"/>
      </w:pPr>
      <w:r>
        <w:rPr>
          <w:bCs/>
          <w:b/>
        </w:rPr>
        <w:t xml:space="preserve">Phase 1 (Months 1-18): Infrastructure &amp; Partnerships:</w:t>
      </w:r>
      <w:r>
        <w:t xml:space="preserve"> </w:t>
      </w:r>
      <w:r>
        <w:t xml:space="preserve">Secure space at the Osaka University Advanced Mathematical Research Center (AMRC) on the Toyonaka campus. Forge memoranda of understanding with key Osaka entities: Kansai Science City Authority, Osaka Prefectural Government’s Innovation Bureau, and major corporations like NEC.</w:t>
      </w:r>
    </w:p>
    <w:p>
      <w:pPr>
        <w:numPr>
          <w:ilvl w:val="0"/>
          <w:numId w:val="1002"/>
        </w:numPr>
        <w:pStyle w:val="Compact"/>
      </w:pPr>
      <w:r>
        <w:rPr>
          <w:bCs/>
          <w:b/>
        </w:rPr>
        <w:t xml:space="preserve">Phase 2 (Months 19-36): Core Research &amp; Integration:</w:t>
      </w:r>
      <w:r>
        <w:t xml:space="preserve"> </w:t>
      </w:r>
      <w:r>
        <w:t xml:space="preserve">The Mathematician-led team will deploy field studies across Osaka’s urban fabric—e.g., simulating flood mitigation in the Dōtonbori district using topological data analysis. Real-time data from Osaka’s IoT sensor network ensures research remains grounded in local challenges.</w:t>
      </w:r>
    </w:p>
    <w:p>
      <w:pPr>
        <w:numPr>
          <w:ilvl w:val="0"/>
          <w:numId w:val="1002"/>
        </w:numPr>
        <w:pStyle w:val="Compact"/>
      </w:pPr>
      <w:r>
        <w:rPr>
          <w:bCs/>
          <w:b/>
        </w:rPr>
        <w:t xml:space="preserve">Phase 3 (Months 37-60): Scale &amp; Transfer:</w:t>
      </w:r>
      <w:r>
        <w:t xml:space="preserve"> </w:t>
      </w:r>
      <w:r>
        <w:t xml:space="preserve">Translate findings into open-source tools hosted on Japan’s National Institute of Informatics platform. Work with Osaka-based SMEs to pilot solutions, ensuring the Mathematician’s work delivers immediate economic value within Japan Osaka.</w:t>
      </w:r>
    </w:p>
    <w:bookmarkEnd w:id="23"/>
    <w:bookmarkStart w:id="24" w:name="expected-impact-and-significance"/>
    <w:p>
      <w:pPr>
        <w:pStyle w:val="Heading2"/>
      </w:pPr>
      <w:r>
        <w:t xml:space="preserve">Expected Impact and Significance</w:t>
      </w:r>
    </w:p>
    <w:p>
      <w:pPr>
        <w:pStyle w:val="FirstParagraph"/>
      </w:pPr>
      <w:r>
        <w:t xml:space="preserve">This Research Proposal promises transformative outcomes for both academia and Japan's national interests:</w:t>
      </w:r>
    </w:p>
    <w:p>
      <w:pPr>
        <w:numPr>
          <w:ilvl w:val="0"/>
          <w:numId w:val="1003"/>
        </w:numPr>
        <w:pStyle w:val="Compact"/>
      </w:pPr>
      <w:r>
        <w:rPr>
          <w:bCs/>
          <w:b/>
        </w:rPr>
        <w:t xml:space="preserve">Economic Acceleration:</w:t>
      </w:r>
      <w:r>
        <w:t xml:space="preserve"> </w:t>
      </w:r>
      <w:r>
        <w:t xml:space="preserve">By focusing on Osaka’s industrial priorities (e.g., semiconductor manufacturing, logistics), the Mathematician’s work will directly boost productivity. Projections indicate a 15% reduction in energy waste for Osaka-based factories within five years.</w:t>
      </w:r>
    </w:p>
    <w:p>
      <w:pPr>
        <w:numPr>
          <w:ilvl w:val="0"/>
          <w:numId w:val="1003"/>
        </w:numPr>
        <w:pStyle w:val="Compact"/>
      </w:pPr>
      <w:r>
        <w:rPr>
          <w:bCs/>
          <w:b/>
        </w:rPr>
        <w:t xml:space="preserve">National Strategic Alignment:</w:t>
      </w:r>
      <w:r>
        <w:t xml:space="preserve"> </w:t>
      </w:r>
      <w:r>
        <w:t xml:space="preserve">Directly supports Japan’s "Society 5.0" initiative and the Ministry of Education's push to make Japan a top-3 global math research hub by 2030. Osaka becomes the operational nerve center for this national mission.</w:t>
      </w:r>
    </w:p>
    <w:p>
      <w:pPr>
        <w:numPr>
          <w:ilvl w:val="0"/>
          <w:numId w:val="1003"/>
        </w:numPr>
        <w:pStyle w:val="Compact"/>
      </w:pPr>
      <w:r>
        <w:rPr>
          <w:bCs/>
          <w:b/>
        </w:rPr>
        <w:t xml:space="preserve">Global Leadership:</w:t>
      </w:r>
      <w:r>
        <w:t xml:space="preserve"> </w:t>
      </w:r>
      <w:r>
        <w:t xml:space="preserve">The project will attract international mathematicians to Japan Osaka—building on its existing magnet status (e.g., annual International Workshop on Algebraic Geometry held at Osaka University). This positions Japan as a destination, not just a participant, in global mathematical discourse.</w:t>
      </w:r>
    </w:p>
    <w:bookmarkEnd w:id="24"/>
    <w:bookmarkStart w:id="25" w:name="resource-requirements-budget-overview"/>
    <w:p>
      <w:pPr>
        <w:pStyle w:val="Heading2"/>
      </w:pPr>
      <w:r>
        <w:t xml:space="preserve">Resource Requirements &amp; Budget Overview</w:t>
      </w:r>
    </w:p>
    <w:p>
      <w:pPr>
        <w:pStyle w:val="FirstParagraph"/>
      </w:pPr>
      <w:r>
        <w:t xml:space="preserve">The proposed budget of ¥1.8 billion ($11.5 million) will be strategically allocated:</w:t>
      </w:r>
    </w:p>
    <w:p>
      <w:pPr>
        <w:numPr>
          <w:ilvl w:val="0"/>
          <w:numId w:val="1004"/>
        </w:numPr>
        <w:pStyle w:val="Compact"/>
      </w:pPr>
      <w:r>
        <w:t xml:space="preserve">¥700M for infrastructure at the Osaka AMRC campus (including quantum computing testbeds)</w:t>
      </w:r>
    </w:p>
    <w:p>
      <w:pPr>
        <w:numPr>
          <w:ilvl w:val="0"/>
          <w:numId w:val="1004"/>
        </w:numPr>
        <w:pStyle w:val="Compact"/>
      </w:pPr>
      <w:r>
        <w:t xml:space="preserve">¥600M for personnel (5 postdocs, 2 full-time Mathematicians, industry liaisons)</w:t>
      </w:r>
    </w:p>
    <w:p>
      <w:pPr>
        <w:numPr>
          <w:ilvl w:val="0"/>
          <w:numId w:val="1004"/>
        </w:numPr>
        <w:pStyle w:val="Compact"/>
      </w:pPr>
      <w:r>
        <w:t xml:space="preserve">¥350M for partnerships with Osaka municipalities and corporations</w:t>
      </w:r>
    </w:p>
    <w:p>
      <w:pPr>
        <w:numPr>
          <w:ilvl w:val="0"/>
          <w:numId w:val="1004"/>
        </w:numPr>
        <w:pStyle w:val="Compact"/>
      </w:pPr>
      <w:r>
        <w:t xml:space="preserve">¥150M for international collaboration grants</w:t>
      </w:r>
    </w:p>
    <w:bookmarkEnd w:id="25"/>
    <w:bookmarkStart w:id="26" w:name="X14a435f6fa4e5dcceee204c1cd3858c2057d72a"/>
    <w:p>
      <w:pPr>
        <w:pStyle w:val="Heading2"/>
      </w:pPr>
      <w:r>
        <w:t xml:space="preserve">Conclusion: A New Era for the Mathematician in Japan Osaka</w:t>
      </w:r>
    </w:p>
    <w:p>
      <w:pPr>
        <w:pStyle w:val="FirstParagraph"/>
      </w:pPr>
      <w:r>
        <w:t xml:space="preserve">This Research Proposal transcends conventional academic funding requests. It recognizes that the future of mathematics—and by extension, Japan’s technological sovereignty—depends on embedding the Mathematician within dynamic regional ecosystems like Japan Osaka. By doing so, we move beyond isolated breakthroughs toward scalable solutions for real-world complexity. The proposed center will become a magnet for global talent, proving that Osaka is not merely a location but the *catalyst* for mathematical innovation in the 21st century. In this vision, the Mathematician is no longer a solitary figure but an integral partner in shaping Japan’s sustainable, data-driven future—one where Osaka’s legacy of excellence meets tomorrow's challenges head-on. We request your support to launch this pivotal Research Proposal and cement Japan Osaka as the undisputed global leader for mathematical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Japan Osaka</dc:title>
  <dc:creator/>
  <dc:language>en</dc:language>
  <cp:keywords/>
  <dcterms:created xsi:type="dcterms:W3CDTF">2026-07-17T22:49:19Z</dcterms:created>
  <dcterms:modified xsi:type="dcterms:W3CDTF">2026-07-17T22:49:19Z</dcterms:modified>
</cp:coreProperties>
</file>

<file path=docProps/custom.xml><?xml version="1.0" encoding="utf-8"?>
<Properties xmlns="http://schemas.openxmlformats.org/officeDocument/2006/custom-properties" xmlns:vt="http://schemas.openxmlformats.org/officeDocument/2006/docPropsVTypes"/>
</file>