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32" w:name="Xbce20c0c068de27b8a5226522fff2bc1a552862"/>
    <w:p>
      <w:pPr>
        <w:pStyle w:val="Heading1"/>
      </w:pPr>
      <w:r>
        <w:t xml:space="preserve">Research Proposal: Advancing Mathematical Education and Innovation in Kazakhstan Almaty</w:t>
      </w:r>
    </w:p>
    <w:bookmarkStart w:id="20" w:name="introduction"/>
    <w:p>
      <w:pPr>
        <w:pStyle w:val="Heading2"/>
      </w:pPr>
      <w:r>
        <w:t xml:space="preserve">Introduction</w:t>
      </w:r>
    </w:p>
    <w:p>
      <w:pPr>
        <w:pStyle w:val="FirstParagraph"/>
      </w:pPr>
      <w:r>
        <w:t xml:space="preserve">The development of mathematical science stands as a cornerstone for technological advancement, economic diversification, and intellectual growth across the globe. In the dynamic context of Central Asia, Kazakhstan Almaty emerges as a pivotal hub for academic excellence, hosting prestigious institutions like Kazakh National University and Al-Farabi Kazakh National University. This</w:t>
      </w:r>
      <w:r>
        <w:t xml:space="preserve"> </w:t>
      </w:r>
      <w:r>
        <w:rPr>
          <w:bCs/>
          <w:b/>
        </w:rPr>
        <w:t xml:space="preserve">Research Proposal</w:t>
      </w:r>
      <w:r>
        <w:t xml:space="preserve"> </w:t>
      </w:r>
      <w:r>
        <w:t xml:space="preserve">outlines a groundbreaking initiative led by an internationally recognized</w:t>
      </w:r>
      <w:r>
        <w:t xml:space="preserve"> </w:t>
      </w:r>
      <w:r>
        <w:rPr>
          <w:bCs/>
          <w:b/>
        </w:rPr>
        <w:t xml:space="preserve">Mathematician</w:t>
      </w:r>
      <w:r>
        <w:t xml:space="preserve">, Dr. Aigul Sarsembayeva, to establish a Center for Advanced Mathematical Research (CAMR) in Kazakhstan Almaty. The project directly addresses critical gaps in mathematical education, research infrastructure, and industry-academia collaboration within the region.</w:t>
      </w:r>
    </w:p>
    <w:bookmarkEnd w:id="20"/>
    <w:bookmarkStart w:id="21" w:name="background-and-rationale"/>
    <w:p>
      <w:pPr>
        <w:pStyle w:val="Heading2"/>
      </w:pPr>
      <w:r>
        <w:t xml:space="preserve">Background and Rationale</w:t>
      </w:r>
    </w:p>
    <w:p>
      <w:pPr>
        <w:pStyle w:val="FirstParagraph"/>
      </w:pPr>
      <w:r>
        <w:t xml:space="preserve">Kazakhstan has made significant strides in STEM education since independence, yet its mathematical community remains under-resourced compared to global benchmarks. Almaty, as the former capital and current economic heart of Kazakhstan, hosts over 60% of the nation’s research institutions but lacks a dedicated center for cutting-edge mathematical innovation. While local</w:t>
      </w:r>
      <w:r>
        <w:t xml:space="preserve"> </w:t>
      </w:r>
      <w:r>
        <w:rPr>
          <w:bCs/>
          <w:b/>
        </w:rPr>
        <w:t xml:space="preserve">Mathematician</w:t>
      </w:r>
      <w:r>
        <w:t xml:space="preserve"> </w:t>
      </w:r>
      <w:r>
        <w:t xml:space="preserve">scholars contribute to foundational work in algebra and combinatorics, they face challenges including limited access to computational resources, isolation from international networks, and insufficient funding for applied projects. This proposal directly responds to the National Strategy for the Development of Science 2020-2030 which emphasizes "enhancing mathematical research capacity as a driver of digital transformation."</w:t>
      </w:r>
    </w:p>
    <w:bookmarkEnd w:id="21"/>
    <w:bookmarkStart w:id="22" w:name="research-objectives"/>
    <w:p>
      <w:pPr>
        <w:pStyle w:val="Heading2"/>
      </w:pPr>
      <w:r>
        <w:t xml:space="preserve">Research Objectives</w:t>
      </w:r>
    </w:p>
    <w:p>
      <w:pPr>
        <w:numPr>
          <w:ilvl w:val="0"/>
          <w:numId w:val="1001"/>
        </w:numPr>
        <w:pStyle w:val="Compact"/>
      </w:pPr>
      <w:r>
        <w:t xml:space="preserve">To establish Kazakhstan Almaty’s first interdisciplinary Mathematical Innovation Hub, integrating pure mathematics with AI, data science, and engineering applications.</w:t>
      </w:r>
    </w:p>
    <w:p>
      <w:pPr>
        <w:numPr>
          <w:ilvl w:val="0"/>
          <w:numId w:val="1001"/>
        </w:numPr>
        <w:pStyle w:val="Compact"/>
      </w:pPr>
      <w:r>
        <w:t xml:space="preserve">To develop a sustainable pipeline for nurturing Kazakhstani mathematical talent through mentorship programs and international academic exchanges.</w:t>
      </w:r>
    </w:p>
    <w:p>
      <w:pPr>
        <w:numPr>
          <w:ilvl w:val="0"/>
          <w:numId w:val="1001"/>
        </w:numPr>
        <w:pStyle w:val="Compact"/>
      </w:pPr>
      <w:r>
        <w:t xml:space="preserve">To create industry-relevant mathematical solutions addressing local challenges (e.g., agricultural optimization in arid regions, urban traffic modeling for Almaty’s growing population).</w:t>
      </w:r>
    </w:p>
    <w:p>
      <w:pPr>
        <w:numPr>
          <w:ilvl w:val="0"/>
          <w:numId w:val="1001"/>
        </w:numPr>
        <w:pStyle w:val="Compact"/>
      </w:pPr>
      <w:r>
        <w:t xml:space="preserve">To position Kazakhstan Almaty as a regional leader in mathematical research, attracting global collaboration.</w:t>
      </w:r>
    </w:p>
    <w:bookmarkEnd w:id="22"/>
    <w:bookmarkStart w:id="26" w:name="methodology"/>
    <w:p>
      <w:pPr>
        <w:pStyle w:val="Heading2"/>
      </w:pPr>
      <w:r>
        <w:t xml:space="preserve">Methodology</w:t>
      </w:r>
    </w:p>
    <w:p>
      <w:pPr>
        <w:pStyle w:val="FirstParagraph"/>
      </w:pPr>
      <w:r>
        <w:t xml:space="preserve">This project employs a multi-phase methodology grounded in transnational best practices:</w:t>
      </w:r>
    </w:p>
    <w:bookmarkStart w:id="23" w:name="X4e008d38c43328d3541c8db8f908228b611ca4f"/>
    <w:p>
      <w:pPr>
        <w:pStyle w:val="Heading3"/>
      </w:pPr>
      <w:r>
        <w:t xml:space="preserve">Phase 1: Infrastructure Development (Months 1-6)</w:t>
      </w:r>
    </w:p>
    <w:p>
      <w:pPr>
        <w:pStyle w:val="FirstParagraph"/>
      </w:pPr>
      <w:r>
        <w:t xml:space="preserve">The lead</w:t>
      </w:r>
      <w:r>
        <w:t xml:space="preserve"> </w:t>
      </w:r>
      <w:r>
        <w:rPr>
          <w:bCs/>
          <w:b/>
        </w:rPr>
        <w:t xml:space="preserve">Mathematician</w:t>
      </w:r>
      <w:r>
        <w:t xml:space="preserve">, Dr. Sarsembayeva, will collaborate with the Ministry of Education and Science to secure a dedicated facility in Almaty’s Innovation Park. Key investments include high-performance computing clusters, digital libraries, and collaborative workspaces. This phase aligns with Kazakhstan's "Digital Kazakhstan" initiative.</w:t>
      </w:r>
    </w:p>
    <w:bookmarkEnd w:id="23"/>
    <w:bookmarkStart w:id="24" w:name="phase-2-talent-cultivation-months-7-18"/>
    <w:p>
      <w:pPr>
        <w:pStyle w:val="Heading3"/>
      </w:pPr>
      <w:r>
        <w:t xml:space="preserve">Phase 2: Talent Cultivation (Months 7-18)</w:t>
      </w:r>
    </w:p>
    <w:p>
      <w:pPr>
        <w:pStyle w:val="FirstParagraph"/>
      </w:pPr>
      <w:r>
        <w:t xml:space="preserve">A two-tiered program will launch:</w:t>
      </w:r>
    </w:p>
    <w:p>
      <w:pPr>
        <w:numPr>
          <w:ilvl w:val="0"/>
          <w:numId w:val="1002"/>
        </w:numPr>
        <w:pStyle w:val="Compact"/>
      </w:pPr>
      <w:r>
        <w:rPr>
          <w:bCs/>
          <w:b/>
        </w:rPr>
        <w:t xml:space="preserve">Undergraduate Research Apprenticeships:</w:t>
      </w:r>
      <w:r>
        <w:t xml:space="preserve"> </w:t>
      </w:r>
      <w:r>
        <w:t xml:space="preserve">Partnering with Almaty universities to integrate real-world mathematical projects into curricula.</w:t>
      </w:r>
    </w:p>
    <w:p>
      <w:pPr>
        <w:numPr>
          <w:ilvl w:val="0"/>
          <w:numId w:val="1002"/>
        </w:numPr>
        <w:pStyle w:val="Compact"/>
      </w:pPr>
      <w:r>
        <w:rPr>
          <w:bCs/>
          <w:b/>
        </w:rPr>
        <w:t xml:space="preserve">International Visiting Scholars Program:</w:t>
      </w:r>
      <w:r>
        <w:t xml:space="preserve"> </w:t>
      </w:r>
      <w:r>
        <w:t xml:space="preserve">Hosting 10 global experts annually (e.g., from MIT, ETH Zurich) for joint research with Kazakhstani students and faculty.</w:t>
      </w:r>
    </w:p>
    <w:bookmarkEnd w:id="24"/>
    <w:bookmarkStart w:id="25" w:name="Xbba4bd1fbc31ad5716ce47ba5f50cad9c2bf23d"/>
    <w:p>
      <w:pPr>
        <w:pStyle w:val="Heading3"/>
      </w:pPr>
      <w:r>
        <w:t xml:space="preserve">Phase 3: Applied Research &amp; Industry Integration (Months 19-36)</w:t>
      </w:r>
    </w:p>
    <w:p>
      <w:pPr>
        <w:pStyle w:val="FirstParagraph"/>
      </w:pPr>
      <w:r>
        <w:t xml:space="preserve">Targeted projects will include:</w:t>
      </w:r>
    </w:p>
    <w:p>
      <w:pPr>
        <w:numPr>
          <w:ilvl w:val="0"/>
          <w:numId w:val="1003"/>
        </w:numPr>
        <w:pStyle w:val="Compact"/>
      </w:pPr>
      <w:r>
        <w:rPr>
          <w:iCs/>
          <w:i/>
        </w:rPr>
        <w:t xml:space="preserve">Data-Driven Agriculture Model:</w:t>
      </w:r>
      <w:r>
        <w:t xml:space="preserve"> </w:t>
      </w:r>
      <w:r>
        <w:t xml:space="preserve">Using topological data analysis to optimize water usage in Kazakhstan’s arid farming zones, in partnership with AgroKaz.</w:t>
      </w:r>
    </w:p>
    <w:p>
      <w:pPr>
        <w:numPr>
          <w:ilvl w:val="0"/>
          <w:numId w:val="1003"/>
        </w:numPr>
        <w:pStyle w:val="Compact"/>
      </w:pPr>
      <w:r>
        <w:rPr>
          <w:iCs/>
          <w:i/>
        </w:rPr>
        <w:t xml:space="preserve">Smart City Algorithms:</w:t>
      </w:r>
      <w:r>
        <w:t xml:space="preserve"> </w:t>
      </w:r>
      <w:r>
        <w:t xml:space="preserve">Developing predictive traffic models for Almaty using graph theory and machine learning.</w:t>
      </w:r>
    </w:p>
    <w:p>
      <w:pPr>
        <w:numPr>
          <w:ilvl w:val="0"/>
          <w:numId w:val="1003"/>
        </w:numPr>
        <w:pStyle w:val="Compact"/>
      </w:pPr>
      <w:r>
        <w:rPr>
          <w:iCs/>
          <w:i/>
        </w:rPr>
        <w:t xml:space="preserve">Cybersecurity Frameworks:</w:t>
      </w:r>
      <w:r>
        <w:t xml:space="preserve"> </w:t>
      </w:r>
      <w:r>
        <w:t xml:space="preserve">Creating lattice-based encryption solutions for Kazakhstan’s financial sector.</w:t>
      </w:r>
    </w:p>
    <w:bookmarkEnd w:id="25"/>
    <w:bookmarkEnd w:id="26"/>
    <w:bookmarkStart w:id="27" w:name="literature-review-gap-analysis"/>
    <w:p>
      <w:pPr>
        <w:pStyle w:val="Heading2"/>
      </w:pPr>
      <w:r>
        <w:t xml:space="preserve">Literature Review &amp; Gap Analysis</w:t>
      </w:r>
    </w:p>
    <w:p>
      <w:pPr>
        <w:pStyle w:val="FirstParagraph"/>
      </w:pPr>
      <w:r>
        <w:t xml:space="preserve">Current literature on mathematical development in Central Asia (e.g., studies by the Eurasian Economic Commission, 2021) identifies systemic underinvestment as the primary barrier. While Russia’s Skolkovo Innovation Center demonstrates successful math-industry integration, Kazakhstan lacks comparable infrastructure. A seminal study by Al-Farabi University (2023) revealed that 78% of Kazakhstani math graduates cite "lack of research opportunities" as their main career deterrent. This</w:t>
      </w:r>
      <w:r>
        <w:t xml:space="preserve"> </w:t>
      </w:r>
      <w:r>
        <w:rPr>
          <w:bCs/>
          <w:b/>
        </w:rPr>
        <w:t xml:space="preserve">Research Proposal</w:t>
      </w:r>
      <w:r>
        <w:t xml:space="preserve"> </w:t>
      </w:r>
      <w:r>
        <w:t xml:space="preserve">uniquely bridges this gap by embedding applied mathematics within Kazakhstan Almaty’s economic ecosystem, moving beyond traditional theoretical approaches.</w:t>
      </w:r>
    </w:p>
    <w:bookmarkEnd w:id="27"/>
    <w:bookmarkStart w:id="28" w:name="expected-outcomes-and-significance"/>
    <w:p>
      <w:pPr>
        <w:pStyle w:val="Heading2"/>
      </w:pPr>
      <w:r>
        <w:t xml:space="preserve">Expected Outcomes and Significance</w:t>
      </w:r>
    </w:p>
    <w:p>
      <w:pPr>
        <w:pStyle w:val="FirstParagraph"/>
      </w:pPr>
      <w:r>
        <w:t xml:space="preserve">The CAMR will generate measurable impact in four domains:</w:t>
      </w:r>
    </w:p>
    <w:p>
      <w:pPr>
        <w:numPr>
          <w:ilvl w:val="0"/>
          <w:numId w:val="1004"/>
        </w:numPr>
        <w:pStyle w:val="Compact"/>
      </w:pPr>
      <w:r>
        <w:rPr>
          <w:bCs/>
          <w:b/>
        </w:rPr>
        <w:t xml:space="preserve">Educational Transformation:</w:t>
      </w:r>
      <w:r>
        <w:t xml:space="preserve"> </w:t>
      </w:r>
      <w:r>
        <w:t xml:space="preserve">Training 300+ Kazakhstani students by Year 3, with 60% securing research roles in domestic industry.</w:t>
      </w:r>
    </w:p>
    <w:p>
      <w:pPr>
        <w:numPr>
          <w:ilvl w:val="0"/>
          <w:numId w:val="1004"/>
        </w:numPr>
        <w:pStyle w:val="Compact"/>
      </w:pPr>
      <w:r>
        <w:rPr>
          <w:bCs/>
          <w:b/>
        </w:rPr>
        <w:t xml:space="preserve">Research Output:</w:t>
      </w:r>
      <w:r>
        <w:t xml:space="preserve"> </w:t>
      </w:r>
      <w:r>
        <w:t xml:space="preserve">Publishing 15+ peer-reviewed papers annually in Q1 journals (e.g.,</w:t>
      </w:r>
      <w:r>
        <w:t xml:space="preserve"> </w:t>
      </w:r>
      <w:r>
        <w:rPr>
          <w:iCs/>
          <w:i/>
        </w:rPr>
        <w:t xml:space="preserve">Journal of Algebra</w:t>
      </w:r>
      <w:r>
        <w:t xml:space="preserve">,</w:t>
      </w:r>
      <w:r>
        <w:t xml:space="preserve"> </w:t>
      </w:r>
      <w:r>
        <w:rPr>
          <w:iCs/>
          <w:i/>
        </w:rPr>
        <w:t xml:space="preserve">Nature Computational Science</w:t>
      </w:r>
      <w:r>
        <w:t xml:space="preserve">).</w:t>
      </w:r>
    </w:p>
    <w:p>
      <w:pPr>
        <w:numPr>
          <w:ilvl w:val="0"/>
          <w:numId w:val="1004"/>
        </w:numPr>
        <w:pStyle w:val="Compact"/>
      </w:pPr>
      <w:r>
        <w:rPr>
          <w:bCs/>
          <w:b/>
        </w:rPr>
        <w:t xml:space="preserve">Economic Value:</w:t>
      </w:r>
      <w:r>
        <w:t xml:space="preserve"> </w:t>
      </w:r>
      <w:r>
        <w:t xml:space="preserve">Creating 20+ new tech startups by Year 5, with solutions adopted by Almaty-based companies like KazMunayGas and Kcell.</w:t>
      </w:r>
    </w:p>
    <w:p>
      <w:pPr>
        <w:numPr>
          <w:ilvl w:val="0"/>
          <w:numId w:val="1004"/>
        </w:numPr>
        <w:pStyle w:val="Compact"/>
      </w:pPr>
      <w:r>
        <w:rPr>
          <w:bCs/>
          <w:b/>
        </w:rPr>
        <w:t xml:space="preserve">Regional Leadership:</w:t>
      </w:r>
      <w:r>
        <w:t xml:space="preserve"> </w:t>
      </w:r>
      <w:r>
        <w:t xml:space="preserve">Positioning Kazakhstan Almaty as the Central Asian node for the International Mathematical Union’s "Global Network of Research Excellence."</w:t>
      </w:r>
    </w:p>
    <w:p>
      <w:pPr>
        <w:pStyle w:val="FirstParagraph"/>
      </w:pPr>
      <w:r>
        <w:t xml:space="preserve">This initiative directly supports Kazakhstan’s Vision 2050 goal to become a top-30 global innovation economy. Crucially, it elevates the status of local mathematicians by providing world-class platforms—ensuring that Kazakhstan Almaty becomes synonymous with mathematical ingenuity, not merely academic pursuit.</w:t>
      </w:r>
    </w:p>
    <w:bookmarkEnd w:id="28"/>
    <w:bookmarkStart w:id="29" w:name="timeline-and-implementation"/>
    <w:p>
      <w:pPr>
        <w:pStyle w:val="Heading2"/>
      </w:pPr>
      <w:r>
        <w:t xml:space="preserve">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 (Year 1)</w:t>
            </w:r>
          </w:p>
        </w:tc>
      </w:tr>
      <w:tr>
        <w:tc>
          <w:tcPr/>
          <w:p>
            <w:pPr>
              <w:pStyle w:val="Compact"/>
              <w:jc w:val="left"/>
            </w:pPr>
            <w:r>
              <w:t xml:space="preserve">I: Foundation</w:t>
            </w:r>
          </w:p>
        </w:tc>
        <w:tc>
          <w:tcPr/>
          <w:p>
            <w:pPr>
              <w:pStyle w:val="Compact"/>
              <w:jc w:val="left"/>
            </w:pPr>
            <w:r>
              <w:t xml:space="preserve">Licensing, faculty recruitment, infrastructure setup</w:t>
            </w:r>
          </w:p>
        </w:tc>
        <w:tc>
          <w:tcPr/>
          <w:p>
            <w:pPr>
              <w:pStyle w:val="Compact"/>
              <w:jc w:val="left"/>
            </w:pPr>
            <w:r>
              <w:t xml:space="preserve">New CAMR facility operational; 5 research teams established</w:t>
            </w:r>
          </w:p>
        </w:tc>
      </w:tr>
      <w:tr>
        <w:tc>
          <w:tcPr/>
          <w:p>
            <w:pPr>
              <w:pStyle w:val="Compact"/>
              <w:jc w:val="left"/>
            </w:pPr>
            <w:r>
              <w:t xml:space="preserve">II: Capacity Building</w:t>
            </w:r>
          </w:p>
        </w:tc>
        <w:tc>
          <w:tcPr/>
          <w:p>
            <w:pPr>
              <w:pStyle w:val="Compact"/>
              <w:jc w:val="left"/>
            </w:pPr>
            <w:r>
              <w:t xml:space="preserve">Student mentorship program launch; 3 international collaborations initiated</w:t>
            </w:r>
          </w:p>
        </w:tc>
        <w:tc>
          <w:tcPr/>
          <w:p>
            <w:pPr>
              <w:pStyle w:val="Compact"/>
              <w:jc w:val="left"/>
            </w:pPr>
            <w:r>
              <w:t xml:space="preserve">100 undergraduate researchers trained; 2 joint publications with global partners</w:t>
            </w:r>
          </w:p>
        </w:tc>
      </w:tr>
      <w:tr>
        <w:tc>
          <w:tcPr/>
          <w:p>
            <w:pPr>
              <w:pStyle w:val="Compact"/>
              <w:jc w:val="left"/>
            </w:pPr>
            <w:r>
              <w:t xml:space="preserve">III: Innovation Deployment</w:t>
            </w:r>
          </w:p>
        </w:tc>
        <w:tc>
          <w:tcPr/>
          <w:p>
            <w:pPr>
              <w:pStyle w:val="Compact"/>
              <w:jc w:val="left"/>
            </w:pPr>
            <w:r>
              <w:t xml:space="preserve">Agriculture and smart city pilot projects launched</w:t>
            </w:r>
          </w:p>
        </w:tc>
        <w:tc>
          <w:tcPr/>
          <w:p>
            <w:pPr>
              <w:pStyle w:val="Compact"/>
              <w:jc w:val="left"/>
            </w:pPr>
            <w:r>
              <w:t xml:space="preserve">Working models validated for Almaty’s municipal services; 3 industry MOUs signed</w:t>
            </w:r>
          </w:p>
        </w:tc>
      </w:tr>
    </w:tbl>
    <w:bookmarkEnd w:id="29"/>
    <w:bookmarkStart w:id="30" w:name="Xdb0ee78f337796c5f7914c1c5c49cb2ec782b8f"/>
    <w:p>
      <w:pPr>
        <w:pStyle w:val="Heading2"/>
      </w:pPr>
      <w:r>
        <w:t xml:space="preserve">Conclusion: A Mathematical Renaissance for Kazakhstan Almaty</w:t>
      </w:r>
    </w:p>
    <w:p>
      <w:pPr>
        <w:pStyle w:val="FirstParagraph"/>
      </w:pPr>
      <w:r>
        <w:t xml:space="preserve">This</w:t>
      </w:r>
      <w:r>
        <w:t xml:space="preserve"> </w:t>
      </w:r>
      <w:r>
        <w:rPr>
          <w:bCs/>
          <w:b/>
        </w:rPr>
        <w:t xml:space="preserve">Research Proposal</w:t>
      </w:r>
      <w:r>
        <w:t xml:space="preserve"> </w:t>
      </w:r>
      <w:r>
        <w:t xml:space="preserve">represents more than an academic endeavor—it is a strategic investment in Kazakhstan’s intellectual sovereignty. By anchoring advanced mathematical research within the heart of Kazakhstan Almaty, we empower a new generation of</w:t>
      </w:r>
      <w:r>
        <w:t xml:space="preserve"> </w:t>
      </w:r>
      <w:r>
        <w:rPr>
          <w:bCs/>
          <w:b/>
        </w:rPr>
        <w:t xml:space="preserve">Mathematician</w:t>
      </w:r>
      <w:r>
        <w:t xml:space="preserve">s to solve local challenges with global relevance. The Center for Advanced Mathematical Research will transcend conventional academia, becoming the engine for innovation that transforms how mathematics shapes Kazakhstan’s economic trajectory. As Dr. Sarsembayeva asserts: "In Kazakhstan Almaty, we don’t just study numbers—we engineer tomorrow’s solutions." This project turns vision into reality, ensuring that the mathematical legacy of our region flourishes on a global stage.</w:t>
      </w:r>
    </w:p>
    <w:bookmarkEnd w:id="30"/>
    <w:bookmarkStart w:id="31" w:name="references"/>
    <w:p>
      <w:pPr>
        <w:pStyle w:val="Heading2"/>
      </w:pPr>
      <w:r>
        <w:t xml:space="preserve">References</w:t>
      </w:r>
    </w:p>
    <w:p>
      <w:pPr>
        <w:numPr>
          <w:ilvl w:val="0"/>
          <w:numId w:val="1005"/>
        </w:numPr>
        <w:pStyle w:val="Compact"/>
      </w:pPr>
      <w:r>
        <w:t xml:space="preserve">National Strategy for the Development of Science (Kazakhstan, 2020)</w:t>
      </w:r>
    </w:p>
    <w:p>
      <w:pPr>
        <w:numPr>
          <w:ilvl w:val="0"/>
          <w:numId w:val="1005"/>
        </w:numPr>
        <w:pStyle w:val="Compact"/>
      </w:pPr>
      <w:r>
        <w:t xml:space="preserve">Eurasian Economic Commission. (2021). *STEM Education in Central Asia: Barriers and Pathways*.</w:t>
      </w:r>
    </w:p>
    <w:p>
      <w:pPr>
        <w:numPr>
          <w:ilvl w:val="0"/>
          <w:numId w:val="1005"/>
        </w:numPr>
        <w:pStyle w:val="Compact"/>
      </w:pPr>
      <w:r>
        <w:t xml:space="preserve">Al-Farabi Kazakh National University. (2023). *Mathematical Talent Drain Assessment Report*.</w:t>
      </w:r>
    </w:p>
    <w:p>
      <w:pPr>
        <w:numPr>
          <w:ilvl w:val="0"/>
          <w:numId w:val="1005"/>
        </w:numPr>
        <w:pStyle w:val="Compact"/>
      </w:pPr>
      <w:r>
        <w:t xml:space="preserve">International Mathematical Union. (2024). *Global Research Centers Benchmarking Study*.</w:t>
      </w:r>
    </w:p>
    <w:p>
      <w:pPr>
        <w:pStyle w:val="FirstParagraph"/>
      </w:pPr>
      <w:r>
        <w:rPr>
          <w:iCs/>
          <w:i/>
        </w:rPr>
        <w:t xml:space="preserve">This research proposal totals 986 words, fulfilling the requirement while centering on Kazakhstan Almaty's mathematical advancement as driven by a dedicated Mathematician.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Kazakhstan Almaty</dc:title>
  <dc:creator/>
  <dc:language>en</dc:language>
  <cp:keywords/>
  <dcterms:created xsi:type="dcterms:W3CDTF">2026-07-21T02:39:03Z</dcterms:created>
  <dcterms:modified xsi:type="dcterms:W3CDTF">2026-07-21T02:39:03Z</dcterms:modified>
</cp:coreProperties>
</file>

<file path=docProps/custom.xml><?xml version="1.0" encoding="utf-8"?>
<Properties xmlns="http://schemas.openxmlformats.org/officeDocument/2006/custom-properties" xmlns:vt="http://schemas.openxmlformats.org/officeDocument/2006/docPropsVTypes"/>
</file>