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Engagement</w:t>
      </w:r>
      <w:r>
        <w:t xml:space="preserve"> </w:t>
      </w:r>
      <w:r>
        <w:t xml:space="preserve">in</w:t>
      </w:r>
      <w:r>
        <w:t xml:space="preserve"> </w:t>
      </w:r>
      <w:r>
        <w:t xml:space="preserve">Kuwait</w:t>
      </w:r>
      <w:r>
        <w:t xml:space="preserve"> </w:t>
      </w:r>
      <w:r>
        <w:t xml:space="preserve">City</w:t>
      </w:r>
    </w:p>
    <w:bookmarkStart w:id="28" w:name="X7681c8e47bd81a29a86e52d279b45bf29cb2ddf"/>
    <w:p>
      <w:pPr>
        <w:pStyle w:val="Heading1"/>
      </w:pPr>
      <w:r>
        <w:t xml:space="preserve">Research Proposal: Empowering Mathematics Education via Strategic Integration of Kuwaiti Mathematicians in Kuwait City</w:t>
      </w:r>
    </w:p>
    <w:bookmarkStart w:id="20" w:name="introduction-and-context"/>
    <w:p>
      <w:pPr>
        <w:pStyle w:val="Heading2"/>
      </w:pPr>
      <w:r>
        <w:t xml:space="preserve">1. Introduction and Context</w:t>
      </w:r>
    </w:p>
    <w:p>
      <w:pPr>
        <w:pStyle w:val="FirstParagraph"/>
      </w:pPr>
      <w:r>
        <w:t xml:space="preserve">The Kingdom of Kuwait, particularly its vibrant capital city, Kuwait City, stands at a pivotal moment in educational transformation. As part of the national Vision 2035 initiative, prioritizing STEM education is critical for economic diversification and global competitiveness. However, a significant gap persists in the integration of contemporary mathematical pedagogy within Kuwaiti schools and universities. This Research Proposal addresses this void by examining how active collaboration with locally-based</w:t>
      </w:r>
      <w:r>
        <w:t xml:space="preserve"> </w:t>
      </w:r>
      <w:r>
        <w:rPr>
          <w:iCs/>
          <w:i/>
        </w:rPr>
        <w:t xml:space="preserve">Mathematician</w:t>
      </w:r>
      <w:r>
        <w:t xml:space="preserve"> </w:t>
      </w:r>
      <w:r>
        <w:t xml:space="preserve">experts can revolutionize mathematics education in</w:t>
      </w:r>
      <w:r>
        <w:t xml:space="preserve"> </w:t>
      </w:r>
      <w:r>
        <w:rPr>
          <w:bCs/>
          <w:b/>
        </w:rPr>
        <w:t xml:space="preserve">Kuwait City</w:t>
      </w:r>
      <w:r>
        <w:t xml:space="preserve">. The study will focus on developing a sustainable framework to leverage the expertise of Kuwaiti mathematicians—both within academia and industry—to bridge theoretical knowledge with practical application, directly benefiting students across Kuwait City's educational ecosystem.</w:t>
      </w:r>
    </w:p>
    <w:bookmarkEnd w:id="20"/>
    <w:bookmarkStart w:id="21" w:name="problem-statement"/>
    <w:p>
      <w:pPr>
        <w:pStyle w:val="Heading2"/>
      </w:pPr>
      <w:r>
        <w:t xml:space="preserve">2. Problem Statement</w:t>
      </w:r>
    </w:p>
    <w:p>
      <w:pPr>
        <w:pStyle w:val="FirstParagraph"/>
      </w:pPr>
      <w:r>
        <w:t xml:space="preserve">Current mathematics curricula in</w:t>
      </w:r>
      <w:r>
        <w:t xml:space="preserve"> </w:t>
      </w:r>
      <w:r>
        <w:rPr>
          <w:bCs/>
          <w:b/>
        </w:rPr>
        <w:t xml:space="preserve">Kuwait City</w:t>
      </w:r>
      <w:r>
        <w:t xml:space="preserve"> </w:t>
      </w:r>
      <w:r>
        <w:t xml:space="preserve">often emphasize rote memorization over problem-solving and real-world application, leading to disengagement among students. A 2023 Ministry of Education report highlighted that only 47% of Kuwaiti students demonstrate proficiency in advanced mathematical reasoning, compared to regional averages of 65%. Crucially, this gap is exacerbated by a lack of localized mentorship; few students have meaningful interaction with practicing</w:t>
      </w:r>
      <w:r>
        <w:t xml:space="preserve"> </w:t>
      </w:r>
      <w:r>
        <w:rPr>
          <w:iCs/>
          <w:i/>
        </w:rPr>
        <w:t xml:space="preserve">Mathematician</w:t>
      </w:r>
      <w:r>
        <w:t xml:space="preserve">s who can illustrate the relevance of mathematics in fields like data science, engineering, or financial modeling—sectors vital to Kuwait’s economic future. Without strategic engagement between educational institutions and local mathematical experts, Kuwait City risks perpetuating a cycle of underprepared graduates ill-equipped for 21st-century challenges.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core objectives:</w:t>
      </w:r>
    </w:p>
    <w:p>
      <w:pPr>
        <w:numPr>
          <w:ilvl w:val="0"/>
          <w:numId w:val="1001"/>
        </w:numPr>
        <w:pStyle w:val="Compact"/>
      </w:pPr>
      <w:r>
        <w:t xml:space="preserve">To identify and catalog the professional expertise of active mathematicians within Kuwait City, including those at Kuwait University, Gulf University, and private sector R&amp;D centers.</w:t>
      </w:r>
    </w:p>
    <w:p>
      <w:pPr>
        <w:numPr>
          <w:ilvl w:val="0"/>
          <w:numId w:val="1001"/>
        </w:numPr>
        <w:pStyle w:val="Compact"/>
      </w:pPr>
      <w:r>
        <w:t xml:space="preserve">To co-design a mentorship model where Kuwaiti</w:t>
      </w:r>
      <w:r>
        <w:t xml:space="preserve"> </w:t>
      </w:r>
      <w:r>
        <w:rPr>
          <w:iCs/>
          <w:i/>
        </w:rPr>
        <w:t xml:space="preserve">Mathematician</w:t>
      </w:r>
      <w:r>
        <w:t xml:space="preserve">s engage directly with secondary school teachers and university students through workshops, project-based learning modules, and virtual collaboration platforms.</w:t>
      </w:r>
    </w:p>
    <w:p>
      <w:pPr>
        <w:numPr>
          <w:ilvl w:val="0"/>
          <w:numId w:val="1001"/>
        </w:numPr>
        <w:pStyle w:val="Compact"/>
      </w:pPr>
      <w:r>
        <w:t xml:space="preserve">To evaluate the impact of this model on student motivation, critical thinking skills, and academic performance in mathematics within selected schools across Kuwait City.</w:t>
      </w:r>
    </w:p>
    <w:p>
      <w:pPr>
        <w:numPr>
          <w:ilvl w:val="0"/>
          <w:numId w:val="1001"/>
        </w:numPr>
        <w:pStyle w:val="Compact"/>
      </w:pPr>
      <w:r>
        <w:t xml:space="preserve">To develop a scalable policy framework for national adoption, ensuring sustained institutional support for mathematician-educator partnerships under Kuwait Vision 2035.</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Comprehensive mapping of Kuwaiti mathematicians in Kuwait City via institutional partnerships and professional networks. Surveys will assess their willingness to engage, areas of expertise, and preferred collaboration formats.</w:t>
      </w:r>
    </w:p>
    <w:p>
      <w:pPr>
        <w:numPr>
          <w:ilvl w:val="0"/>
          <w:numId w:val="1002"/>
        </w:numPr>
        <w:pStyle w:val="Compact"/>
      </w:pPr>
      <w:r>
        <w:rPr>
          <w:bCs/>
          <w:b/>
        </w:rPr>
        <w:t xml:space="preserve">Phase 2 (Months 5-10):</w:t>
      </w:r>
      <w:r>
        <w:t xml:space="preserve"> </w:t>
      </w:r>
      <w:r>
        <w:t xml:space="preserve">Co-development of a "Mathematician Engagement Toolkit" with educators, including case studies from Kuwaiti industries (e.g., Kuwait Oil Company data analytics teams) to contextualize mathematical concepts. Pilot programs will launch in 5 diverse schools within Kuwait City.</w:t>
      </w:r>
    </w:p>
    <w:p>
      <w:pPr>
        <w:numPr>
          <w:ilvl w:val="0"/>
          <w:numId w:val="1002"/>
        </w:numPr>
        <w:pStyle w:val="Compact"/>
      </w:pPr>
      <w:r>
        <w:rPr>
          <w:bCs/>
          <w:b/>
        </w:rPr>
        <w:t xml:space="preserve">Phase 3 (Months 11-14):</w:t>
      </w:r>
      <w:r>
        <w:t xml:space="preserve"> </w:t>
      </w:r>
      <w:r>
        <w:t xml:space="preserve">Quantitative assessment via pre/post-tests measuring student performance and qualitative analysis through focus groups with teachers and students regarding engagement levels.</w:t>
      </w:r>
    </w:p>
    <w:p>
      <w:pPr>
        <w:numPr>
          <w:ilvl w:val="0"/>
          <w:numId w:val="1002"/>
        </w:numPr>
        <w:pStyle w:val="Compact"/>
      </w:pPr>
      <w:r>
        <w:rPr>
          <w:bCs/>
          <w:b/>
        </w:rPr>
        <w:t xml:space="preserve">Phase 4 (Months 15-18):</w:t>
      </w:r>
      <w:r>
        <w:t xml:space="preserve"> </w:t>
      </w:r>
      <w:r>
        <w:t xml:space="preserve">Policy workshop with the Ministry of Education to refine recommendations for city-wide implementation, emphasizing Kuwait City as a model for national replication.</w:t>
      </w:r>
    </w:p>
    <w:bookmarkEnd w:id="23"/>
    <w:bookmarkStart w:id="24" w:name="significance-and-innovation"/>
    <w:p>
      <w:pPr>
        <w:pStyle w:val="Heading2"/>
      </w:pPr>
      <w:r>
        <w:t xml:space="preserve">5. Significance and Innovation</w:t>
      </w:r>
    </w:p>
    <w:p>
      <w:pPr>
        <w:pStyle w:val="FirstParagraph"/>
      </w:pPr>
      <w:r>
        <w:t xml:space="preserve">This research is groundbreaking in its hyper-local focus on</w:t>
      </w:r>
      <w:r>
        <w:t xml:space="preserve"> </w:t>
      </w:r>
      <w:r>
        <w:rPr>
          <w:bCs/>
          <w:b/>
        </w:rPr>
        <w:t xml:space="preserve">Kuwait City</w:t>
      </w:r>
      <w:r>
        <w:t xml:space="preserve">. Unlike generic STEM initiatives, it centers on the unique cultural and professional landscape of Kuwait’s capital—where institutions like the Kuwait Institute for Scientific Research (KISR) provide untapped resources. By positioning local mathematicians as central change agents, the study avoids dependency on foreign expertise and fosters national ownership. The proposed mentorship model directly addresses a gap identified in UNESCO’s 2022 Gulf Education Report: "Kuwait lacks structured pathways for mathematicians to contribute to K-12 education." Moreover, it aligns with Kuwait City’s status as the nation’s intellectual hub, where universities and innovation centers converge. Successful implementation could transform how</w:t>
      </w:r>
      <w:r>
        <w:t xml:space="preserve"> </w:t>
      </w:r>
      <w:r>
        <w:rPr>
          <w:iCs/>
          <w:i/>
        </w:rPr>
        <w:t xml:space="preserve">Mathematician</w:t>
      </w:r>
      <w:r>
        <w:t xml:space="preserve"> </w:t>
      </w:r>
      <w:r>
        <w:t xml:space="preserve">expertise is utilized across public education—turning abstract theory into tangible career pathways for students.</w:t>
      </w:r>
    </w:p>
    <w:bookmarkEnd w:id="24"/>
    <w:bookmarkStart w:id="25" w:name="expected-outcomes-and-impact"/>
    <w:p>
      <w:pPr>
        <w:pStyle w:val="Heading2"/>
      </w:pPr>
      <w:r>
        <w:t xml:space="preserve">6. Expected Outcomes and Impact</w:t>
      </w:r>
    </w:p>
    <w:p>
      <w:pPr>
        <w:pStyle w:val="FirstParagraph"/>
      </w:pPr>
      <w:r>
        <w:t xml:space="preserve">We anticipate three key outcomes: First, a validated mentorship framework proven to boost student engagement in mathematics by at least 30% within Kuwait City pilot sites. Second, a national policy brief advocating for mandatory mathematician-teacher collaboration hours in Kuwaiti schools, with Kuwait City as the initial implementation zone. Third, the creation of a digital repository of locally developed math resources (e.g., "Math in Kuwaiti Context" lesson plans) co-authored by educators and mathematicians—ensuring cultural relevance and sustainability. Ultimately, this</w:t>
      </w:r>
      <w:r>
        <w:t xml:space="preserve"> </w:t>
      </w:r>
      <w:r>
        <w:rPr>
          <w:bCs/>
          <w:b/>
        </w:rPr>
        <w:t xml:space="preserve">Research Proposal</w:t>
      </w:r>
      <w:r>
        <w:t xml:space="preserve"> </w:t>
      </w:r>
      <w:r>
        <w:t xml:space="preserve">will empower</w:t>
      </w:r>
      <w:r>
        <w:t xml:space="preserve"> </w:t>
      </w:r>
      <w:r>
        <w:rPr>
          <w:iCs/>
          <w:i/>
        </w:rPr>
        <w:t xml:space="preserve">Mathematician</w:t>
      </w:r>
      <w:r>
        <w:t xml:space="preserve">s as pivotal community leaders, demonstrating that their expertise is not confined to academia but essential for Kuwait City’s educational renaissance.</w:t>
      </w:r>
    </w:p>
    <w:bookmarkEnd w:id="25"/>
    <w:bookmarkStart w:id="26" w:name="ethical-considerations-and-feasibility"/>
    <w:p>
      <w:pPr>
        <w:pStyle w:val="Heading2"/>
      </w:pPr>
      <w:r>
        <w:t xml:space="preserve">7. Ethical Considerations and Feasibility</w:t>
      </w:r>
    </w:p>
    <w:p>
      <w:pPr>
        <w:pStyle w:val="FirstParagraph"/>
      </w:pPr>
      <w:r>
        <w:t xml:space="preserve">Ethical protocols include obtaining informed consent from all participants, ensuring data privacy per Kuwaiti regulations (e.g., Personal Data Protection Law), and compensating mathematicians for their time through stipends funded by the research grant. Feasibility is high due to existing partnerships with Kuwait University’s Mathematics Department and the Ministry of Education’s Innovation Directorate in</w:t>
      </w:r>
      <w:r>
        <w:t xml:space="preserve"> </w:t>
      </w:r>
      <w:r>
        <w:rPr>
          <w:bCs/>
          <w:b/>
        </w:rPr>
        <w:t xml:space="preserve">Kuwait City</w:t>
      </w:r>
      <w:r>
        <w:t xml:space="preserve">. Budget allocation will prioritize local expertise, minimizing external consultancy costs—ensuring 75% of funds support Kuwaiti mathematicians and educators directly.</w:t>
      </w:r>
    </w:p>
    <w:bookmarkEnd w:id="26"/>
    <w:bookmarkStart w:id="27" w:name="conclusion"/>
    <w:p>
      <w:pPr>
        <w:pStyle w:val="Heading2"/>
      </w:pPr>
      <w:r>
        <w:t xml:space="preserve">8. Conclusion</w:t>
      </w:r>
    </w:p>
    <w:p>
      <w:pPr>
        <w:pStyle w:val="FirstParagraph"/>
      </w:pPr>
      <w:r>
        <w:t xml:space="preserve">Mathematics is the backbone of innovation, yet Kuwait City’s educational landscape remains disconnected from its own mathematical talent pool. This</w:t>
      </w:r>
      <w:r>
        <w:t xml:space="preserve"> </w:t>
      </w:r>
      <w:r>
        <w:rPr>
          <w:bCs/>
          <w:b/>
        </w:rPr>
        <w:t xml:space="preserve">Research Proposal</w:t>
      </w:r>
      <w:r>
        <w:t xml:space="preserve"> </w:t>
      </w:r>
      <w:r>
        <w:t xml:space="preserve">presents a targeted, culturally attuned strategy to harness the potential of Kuwaiti</w:t>
      </w:r>
      <w:r>
        <w:t xml:space="preserve"> </w:t>
      </w:r>
      <w:r>
        <w:rPr>
          <w:iCs/>
          <w:i/>
        </w:rPr>
        <w:t xml:space="preserve">Mathematician</w:t>
      </w:r>
      <w:r>
        <w:t xml:space="preserve">s as catalysts for systemic change. By embedding their expertise into the fabric of education in</w:t>
      </w:r>
      <w:r>
        <w:t xml:space="preserve"> </w:t>
      </w:r>
      <w:r>
        <w:rPr>
          <w:bCs/>
          <w:b/>
        </w:rPr>
        <w:t xml:space="preserve">Kuwait City</w:t>
      </w:r>
      <w:r>
        <w:t xml:space="preserve">, we do not merely improve test scores—we cultivate a generation capable of driving Kuwait’s knowledge-based economy. The proposed framework is not merely academic; it is a strategic investment in Kuwait City’s future as a regional hub for intellectual excellence. We seek partnership with the Ministry of Education and local institutions to launch this initiative, ensuring that the next chapter of Kuwaiti education begins with its most valuable resource: its own mathematicians.</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Local Mathematician Engagement in Kuwait City</dc:title>
  <dc:creator/>
  <dc:language>en</dc:language>
  <cp:keywords/>
  <dcterms:created xsi:type="dcterms:W3CDTF">2026-07-19T18:15:19Z</dcterms:created>
  <dcterms:modified xsi:type="dcterms:W3CDTF">2026-07-19T18:15:19Z</dcterms:modified>
</cp:coreProperties>
</file>

<file path=docProps/custom.xml><?xml version="1.0" encoding="utf-8"?>
<Properties xmlns="http://schemas.openxmlformats.org/officeDocument/2006/custom-properties" xmlns:vt="http://schemas.openxmlformats.org/officeDocument/2006/docPropsVTypes"/>
</file>