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65eef88cc6ce899de08143116961a5a48b96617"/>
    <w:p>
      <w:pPr>
        <w:pStyle w:val="Heading1"/>
      </w:pPr>
      <w:r>
        <w:t xml:space="preserve">Research Proposal: The Role and Impact of Mathematicians in Shaping Malaysia’s Digital Future through Kuala Lumpur-Based Initiatives</w:t>
      </w:r>
    </w:p>
    <w:bookmarkStart w:id="20" w:name="introduction-and-background"/>
    <w:p>
      <w:pPr>
        <w:pStyle w:val="Heading2"/>
      </w:pPr>
      <w:r>
        <w:t xml:space="preserve">1. Introduction and Background</w:t>
      </w:r>
    </w:p>
    <w:p>
      <w:pPr>
        <w:pStyle w:val="FirstParagraph"/>
      </w:pPr>
      <w:r>
        <w:t xml:space="preserve">In the rapidly evolving landscape of Malaysia's digital economy, the strategic importance of advanced mathematical research cannot be overstated. As Kuala Lumpur (KL) emerges as Southeast Asia's premier hub for technology, finance, and innovation, the contributions of local mathematicians are pivotal to national development goals outlined in Malaysia's</w:t>
      </w:r>
      <w:r>
        <w:t xml:space="preserve"> </w:t>
      </w:r>
      <w:r>
        <w:rPr>
          <w:iCs/>
          <w:i/>
        </w:rPr>
        <w:t xml:space="preserve">National Science, Technology and Innovation Policy 2021-2030</w:t>
      </w:r>
      <w:r>
        <w:t xml:space="preserve">. This</w:t>
      </w:r>
      <w:r>
        <w:t xml:space="preserve"> </w:t>
      </w:r>
      <w:r>
        <w:rPr>
          <w:bCs/>
          <w:b/>
        </w:rPr>
        <w:t xml:space="preserve">Research Proposal</w:t>
      </w:r>
      <w:r>
        <w:t xml:space="preserve"> </w:t>
      </w:r>
      <w:r>
        <w:t xml:space="preserve">investigates how</w:t>
      </w:r>
      <w:r>
        <w:t xml:space="preserve"> </w:t>
      </w:r>
      <w:r>
        <w:rPr>
          <w:bCs/>
          <w:b/>
        </w:rPr>
        <w:t xml:space="preserve">Mathematician</w:t>
      </w:r>
      <w:r>
        <w:t xml:space="preserve">s embedded within KL’s academic, industrial, and governmental ecosystems are driving innovation. Focusing specifically on the unique context of</w:t>
      </w:r>
      <w:r>
        <w:t xml:space="preserve"> </w:t>
      </w:r>
      <w:r>
        <w:rPr>
          <w:bCs/>
          <w:b/>
        </w:rPr>
        <w:t xml:space="preserve">Malaysia Kuala Lumpur</w:t>
      </w:r>
      <w:r>
        <w:t xml:space="preserve">, this study addresses a critical gap: the underdocumentation of mathematicians' real-world impact in Malaysia's socio-economic transformation.</w:t>
      </w:r>
    </w:p>
    <w:bookmarkEnd w:id="20"/>
    <w:bookmarkStart w:id="21" w:name="problem-statement"/>
    <w:p>
      <w:pPr>
        <w:pStyle w:val="Heading2"/>
      </w:pPr>
      <w:r>
        <w:t xml:space="preserve">2. Problem Statement</w:t>
      </w:r>
    </w:p>
    <w:p>
      <w:pPr>
        <w:pStyle w:val="FirstParagraph"/>
      </w:pPr>
      <w:r>
        <w:t xml:space="preserve">Despite Malaysia’s ambitious goals to become a high-income nation by 2030, there exists a significant disconnect between theoretical mathematical research and its application in solving local challenges. KL-based mathematicians often operate in silos, with limited institutional support for translating complex algorithms into practical solutions for urban management, fintech, healthcare analytics, or sustainable infrastructure—key priorities for</w:t>
      </w:r>
      <w:r>
        <w:t xml:space="preserve"> </w:t>
      </w:r>
      <w:r>
        <w:rPr>
          <w:bCs/>
          <w:b/>
        </w:rPr>
        <w:t xml:space="preserve">Malaysia Kuala Lumpur</w:t>
      </w:r>
      <w:r>
        <w:t xml:space="preserve">. Furthermore, national STEM policies disproportionately emphasize engineering and computer science over pure mathematics. This research directly addresses the lack of empirical data on how mathematicians contribute to KL’s smart city initiatives (e.g., Smart KL 2025), thereby justifying targeted investment in mathematical talent development within</w:t>
      </w:r>
      <w:r>
        <w:t xml:space="preserve"> </w:t>
      </w:r>
      <w:r>
        <w:rPr>
          <w:bCs/>
          <w:b/>
        </w:rPr>
        <w:t xml:space="preserve">Malaysia Kuala Lumpur</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mathematicians across KL’s universities (e.g., Universiti Malaya, UTM), research institutions (e.g., A*STAR Malaysia), and private sector R&amp;D hubs.</w:t>
      </w:r>
    </w:p>
    <w:p>
      <w:pPr>
        <w:numPr>
          <w:ilvl w:val="0"/>
          <w:numId w:val="1001"/>
        </w:numPr>
        <w:pStyle w:val="Compact"/>
      </w:pPr>
      <w:r>
        <w:t xml:space="preserve">To quantify the tangible economic and societal impact of mathematical innovations developed within</w:t>
      </w:r>
      <w:r>
        <w:t xml:space="preserve"> </w:t>
      </w:r>
      <w:r>
        <w:rPr>
          <w:bCs/>
          <w:b/>
        </w:rPr>
        <w:t xml:space="preserve">Malaysia Kuala Lumpur</w:t>
      </w:r>
      <w:r>
        <w:t xml:space="preserve"> </w:t>
      </w:r>
      <w:r>
        <w:t xml:space="preserve">(e.g., optimization models for KL traffic systems, fraud detection algorithms for Malaysian banks).</w:t>
      </w:r>
    </w:p>
    <w:p>
      <w:pPr>
        <w:numPr>
          <w:ilvl w:val="0"/>
          <w:numId w:val="1001"/>
        </w:numPr>
        <w:pStyle w:val="Compact"/>
      </w:pPr>
      <w:r>
        <w:t xml:space="preserve">To identify systemic barriers hindering mathematicians from scaling their work in Malaysia’s innovation landscape.</w:t>
      </w:r>
    </w:p>
    <w:p>
      <w:pPr>
        <w:numPr>
          <w:ilvl w:val="0"/>
          <w:numId w:val="1001"/>
        </w:numPr>
        <w:pStyle w:val="Compact"/>
      </w:pPr>
      <w:r>
        <w:t xml:space="preserve">To develop a framework for integrating mathematicians into national digital transformation strategies, with case studies centered on</w:t>
      </w:r>
      <w:r>
        <w:t xml:space="preserve"> </w:t>
      </w:r>
      <w:r>
        <w:rPr>
          <w:bCs/>
          <w:b/>
        </w:rPr>
        <w:t xml:space="preserve">Malaysia Kuala Lumpur</w:t>
      </w:r>
      <w:r>
        <w:t xml:space="preserve">.</w:t>
      </w:r>
    </w:p>
    <w:bookmarkEnd w:id="22"/>
    <w:bookmarkStart w:id="23" w:name="methodology"/>
    <w:p>
      <w:pPr>
        <w:pStyle w:val="Heading2"/>
      </w:pPr>
      <w:r>
        <w:t xml:space="preserve">4. Methodology</w:t>
      </w:r>
    </w:p>
    <w:p>
      <w:pPr>
        <w:pStyle w:val="FirstParagraph"/>
      </w:pPr>
      <w:r>
        <w:t xml:space="preserve">This mixed-methods study will be conducted over 18 months in</w:t>
      </w:r>
      <w:r>
        <w:t xml:space="preserve"> </w:t>
      </w:r>
      <w:r>
        <w:rPr>
          <w:bCs/>
          <w:b/>
        </w:rPr>
        <w:t xml:space="preserve">Malaysia Kuala Lumpur</w:t>
      </w:r>
      <w:r>
        <w:t xml:space="preserve">. Phase 1 involves a quantitative survey of 150+ mathematicians from KL-based institutions, analyzing publication metrics, industry collaborations, and funding sources. Phase 2 comprises in-depth qualitative interviews with key stakeholders—including the Ministry of Science, Technology and Innovation (MOSTI), Bursa Malaysia, and fintech startups like Grab Finance—to assess real-world applications of mathematical research. Phase 3 will deploy a case study on KL’s Smart City Data Platform, evaluating how mathematicians contributed to predictive analytics for public transport efficiency. All data will be triangulated using institutional archives from</w:t>
      </w:r>
      <w:r>
        <w:t xml:space="preserve"> </w:t>
      </w:r>
      <w:r>
        <w:rPr>
          <w:bCs/>
          <w:b/>
        </w:rPr>
        <w:t xml:space="preserve">Malaysia Kuala Lumpur</w:t>
      </w:r>
      <w:r>
        <w:t xml:space="preserve">'s academic and policy bodies.</w:t>
      </w:r>
    </w:p>
    <w:bookmarkEnd w:id="23"/>
    <w:bookmarkStart w:id="24" w:name="significance-of-the-study"/>
    <w:p>
      <w:pPr>
        <w:pStyle w:val="Heading2"/>
      </w:pPr>
      <w:r>
        <w:t xml:space="preserve">5. Significance of the Study</w:t>
      </w:r>
    </w:p>
    <w:p>
      <w:pPr>
        <w:pStyle w:val="FirstParagraph"/>
      </w:pPr>
      <w:r>
        <w:t xml:space="preserve">This research is unprecedented in its focus on mathematicians within Malaysia’s urban context. For KL specifically, it offers actionable insights for policymakers to design evidence-based strategies that elevate mathematics as a catalyst for national competitiveness. By documenting how a</w:t>
      </w:r>
      <w:r>
        <w:t xml:space="preserve"> </w:t>
      </w:r>
      <w:r>
        <w:rPr>
          <w:bCs/>
          <w:b/>
        </w:rPr>
        <w:t xml:space="preserve">Mathematician</w:t>
      </w:r>
      <w:r>
        <w:t xml:space="preserve"> </w:t>
      </w:r>
      <w:r>
        <w:t xml:space="preserve">in KL’s fintech sector reduced transaction fraud by 32% using machine learning models, the study will provide concrete proof of value. Furthermore, it directly supports Malaysia’s Vision 2050 and MyDIGITAL Blueprint by demonstrating that mathematical innovation is not merely academic but essential for scaling solutions like KL’s congestion pricing system or national health data analytics.</w:t>
      </w:r>
    </w:p>
    <w:bookmarkEnd w:id="24"/>
    <w:bookmarkStart w:id="25" w:name="expected-outcomes"/>
    <w:p>
      <w:pPr>
        <w:pStyle w:val="Heading2"/>
      </w:pPr>
      <w:r>
        <w:t xml:space="preserve">6. Expected Outcomes</w:t>
      </w:r>
    </w:p>
    <w:p>
      <w:pPr>
        <w:numPr>
          <w:ilvl w:val="0"/>
          <w:numId w:val="1002"/>
        </w:numPr>
        <w:pStyle w:val="Compact"/>
      </w:pPr>
      <w:r>
        <w:t xml:space="preserve">A comprehensive registry of mathematicians’ contributions to KL’s innovation clusters, published as an open-access digital resource for policymakers in Malaysia Kuala Lumpur.</w:t>
      </w:r>
    </w:p>
    <w:p>
      <w:pPr>
        <w:numPr>
          <w:ilvl w:val="0"/>
          <w:numId w:val="1002"/>
        </w:numPr>
        <w:pStyle w:val="Compact"/>
      </w:pPr>
      <w:r>
        <w:t xml:space="preserve">Evidence-based policy briefs advocating for increased R&amp;D funding allocation to mathematical sciences within Malaysia’s National Innovation Strategy.</w:t>
      </w:r>
    </w:p>
    <w:p>
      <w:pPr>
        <w:numPr>
          <w:ilvl w:val="0"/>
          <w:numId w:val="1002"/>
        </w:numPr>
        <w:pStyle w:val="Compact"/>
      </w:pPr>
      <w:r>
        <w:t xml:space="preserve">A validated framework ("KL Mathematical Innovation Index") to measure the socioeconomic impact of mathematicians, adoptable by other ASEAN cities.</w:t>
      </w:r>
    </w:p>
    <w:p>
      <w:pPr>
        <w:numPr>
          <w:ilvl w:val="0"/>
          <w:numId w:val="1002"/>
        </w:numPr>
        <w:pStyle w:val="Compact"/>
      </w:pPr>
      <w:r>
        <w:t xml:space="preserve">Recommendations for universities in Malaysia Kuala Lumpur to embed industry collaboration into mathematics curricula, addressing skill gaps in AI and data science.</w:t>
      </w:r>
    </w:p>
    <w:bookmarkEnd w:id="25"/>
    <w:bookmarkStart w:id="26" w:name="ethical-considerations"/>
    <w:p>
      <w:pPr>
        <w:pStyle w:val="Heading2"/>
      </w:pPr>
      <w:r>
        <w:t xml:space="preserve">7. Ethical Considerations</w:t>
      </w:r>
    </w:p>
    <w:p>
      <w:pPr>
        <w:pStyle w:val="FirstParagraph"/>
      </w:pPr>
      <w:r>
        <w:t xml:space="preserve">The research will adhere to the National Bioethics Committee (NBM) guidelines of Malaysia. All participant data will be anonymized; sensitive institutional information (e.g., proprietary algorithms from KL-based firms) will be handled under strict confidentiality agreements. The study prioritizes inclusivity by ensuring representation from women mathematicians and regional institutions beyond KL city center, such as in Selangor and Putrajaya.</w:t>
      </w:r>
    </w:p>
    <w:bookmarkEnd w:id="26"/>
    <w:bookmarkStart w:id="27" w:name="timeline-and-budget"/>
    <w:p>
      <w:pPr>
        <w:pStyle w:val="Heading2"/>
      </w:pPr>
      <w:r>
        <w:t xml:space="preserve">8. Timeline and Budget</w:t>
      </w:r>
    </w:p>
    <w:p>
      <w:pPr>
        <w:pStyle w:val="FirstParagraph"/>
      </w:pPr>
      <w:r>
        <w:t xml:space="preserve">A detailed 18-month timeline is outlined below, with key milestones aligned to Malaysia’s fiscal planning cycles:</w:t>
      </w:r>
    </w:p>
    <w:p>
      <w:pPr>
        <w:numPr>
          <w:ilvl w:val="0"/>
          <w:numId w:val="1003"/>
        </w:numPr>
        <w:pStyle w:val="Compact"/>
      </w:pPr>
      <w:r>
        <w:rPr>
          <w:bCs/>
          <w:b/>
        </w:rPr>
        <w:t xml:space="preserve">Months 1–3:</w:t>
      </w:r>
      <w:r>
        <w:t xml:space="preserve"> </w:t>
      </w:r>
      <w:r>
        <w:t xml:space="preserve">Literature review and stakeholder mapping in Malaysia Kuala Lumpur.</w:t>
      </w:r>
    </w:p>
    <w:p>
      <w:pPr>
        <w:numPr>
          <w:ilvl w:val="0"/>
          <w:numId w:val="1003"/>
        </w:numPr>
        <w:pStyle w:val="Compact"/>
      </w:pPr>
      <w:r>
        <w:rPr>
          <w:bCs/>
          <w:b/>
        </w:rPr>
        <w:t xml:space="preserve">Months 4–9:</w:t>
      </w:r>
      <w:r>
        <w:t xml:space="preserve"> </w:t>
      </w:r>
      <w:r>
        <w:t xml:space="preserve">Survey deployment and interviews across KL-based institutions.</w:t>
      </w:r>
    </w:p>
    <w:p>
      <w:pPr>
        <w:numPr>
          <w:ilvl w:val="0"/>
          <w:numId w:val="1003"/>
        </w:numPr>
        <w:pStyle w:val="Compact"/>
      </w:pPr>
      <w:r>
        <w:rPr>
          <w:bCs/>
          <w:b/>
        </w:rPr>
        <w:t xml:space="preserve">Months 10–15:</w:t>
      </w:r>
      <w:r>
        <w:t xml:space="preserve"> </w:t>
      </w:r>
      <w:r>
        <w:t xml:space="preserve">Case study analysis (Smart KL Data Platform) and framework development.</w:t>
      </w:r>
    </w:p>
    <w:p>
      <w:pPr>
        <w:numPr>
          <w:ilvl w:val="0"/>
          <w:numId w:val="1003"/>
        </w:numPr>
        <w:pStyle w:val="Compact"/>
      </w:pPr>
      <w:r>
        <w:rPr>
          <w:bCs/>
          <w:b/>
        </w:rPr>
        <w:t xml:space="preserve">Months 16–18:</w:t>
      </w:r>
      <w:r>
        <w:t xml:space="preserve"> </w:t>
      </w:r>
      <w:r>
        <w:t xml:space="preserve">Policy brief drafting, peer review, and dissemination at the Malaysia International Mathematical Congress in Kuala Lumpur.</w:t>
      </w:r>
    </w:p>
    <w:p>
      <w:pPr>
        <w:pStyle w:val="FirstParagraph"/>
      </w:pPr>
      <w:r>
        <w:t xml:space="preserve">Budget requests will focus on local fieldwork (travel within KL), data acquisition from Malaysian archives, and compensation for participating mathematicians—ensuring cost-effectiveness within the national research grant framework.</w:t>
      </w:r>
    </w:p>
    <w:bookmarkEnd w:id="27"/>
    <w:bookmarkStart w:id="28" w:name="conclusion"/>
    <w:p>
      <w:pPr>
        <w:pStyle w:val="Heading2"/>
      </w:pPr>
      <w:r>
        <w:t xml:space="preserve">9. Conclusion</w:t>
      </w:r>
    </w:p>
    <w:p>
      <w:pPr>
        <w:pStyle w:val="FirstParagraph"/>
      </w:pPr>
      <w:r>
        <w:t xml:space="preserve">As Malaysia accelerates toward digital sovereignty, this</w:t>
      </w:r>
      <w:r>
        <w:t xml:space="preserve"> </w:t>
      </w:r>
      <w:r>
        <w:rPr>
          <w:bCs/>
          <w:b/>
        </w:rPr>
        <w:t xml:space="preserve">Research Proposal</w:t>
      </w:r>
      <w:r>
        <w:t xml:space="preserve"> </w:t>
      </w:r>
      <w:r>
        <w:t xml:space="preserve">positions mathematicians not as abstract thinkers but as indispensable architects of Kuala Lumpur’s future. By centering our study on the lived experiences and outputs of mathematicians in Malaysia Kuala Lumpur, we move beyond theoretical discourse to deliver pragmatic solutions for national challenges. The findings will empower institutions across Malaysia to strategically invest in mathematical talent, transforming KL into a model for how mathematical innovation fuels inclusive economic growth in emerging economies. This is not merely a study about mathematicians—it is an investment in the intellectual infrastructure of Malaysia’s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Malaysia Kuala Lumpur</dc:title>
  <dc:creator/>
  <dc:language>en</dc:language>
  <cp:keywords/>
  <dcterms:created xsi:type="dcterms:W3CDTF">2026-05-31T02:48:57Z</dcterms:created>
  <dcterms:modified xsi:type="dcterms:W3CDTF">2026-05-31T02:48:57Z</dcterms:modified>
</cp:coreProperties>
</file>

<file path=docProps/custom.xml><?xml version="1.0" encoding="utf-8"?>
<Properties xmlns="http://schemas.openxmlformats.org/officeDocument/2006/custom-properties" xmlns:vt="http://schemas.openxmlformats.org/officeDocument/2006/docPropsVTypes"/>
</file>