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8" w:name="X6d00716fc64bd38f9caf57d6b70edccaa91b182"/>
    <w:p>
      <w:pPr>
        <w:pStyle w:val="Heading1"/>
      </w:pPr>
      <w:r>
        <w:t xml:space="preserve">Research Proposal: Pioneering Modern Mathematical Frameworks for Technological Advancement in Russia Moscow</w:t>
      </w:r>
    </w:p>
    <w:bookmarkStart w:id="20" w:name="X7a7a6634638704ceb5dca4dc6c1cee618f7a4b5"/>
    <w:p>
      <w:pPr>
        <w:pStyle w:val="Heading2"/>
      </w:pPr>
      <w:r>
        <w:t xml:space="preserve">Introduction: The Imperative for Mathematical Excellence in Moscow</w:t>
      </w:r>
    </w:p>
    <w:p>
      <w:pPr>
        <w:pStyle w:val="FirstParagraph"/>
      </w:pPr>
      <w:r>
        <w:t xml:space="preserve">The city of Russia Moscow stands as a historic epicenter of mathematical discovery, nurturing giants like Kolmogorov, Pontryagin, and Novikov. Today, this legacy faces both unprecedented opportunity and critical challenge. As Russia positions itself at the forefront of global technological innovation, the need for cutting-edge mathematical research has never been more urgent. This</w:t>
      </w:r>
      <w:r>
        <w:t xml:space="preserve"> </w:t>
      </w:r>
      <w:r>
        <w:rPr>
          <w:bCs/>
          <w:b/>
        </w:rPr>
        <w:t xml:space="preserve">Research Proposal</w:t>
      </w:r>
      <w:r>
        <w:t xml:space="preserve"> </w:t>
      </w:r>
      <w:r>
        <w:t xml:space="preserve">outlines a transformative initiative to establish Moscow as the preeminent hub for advanced mathematical inquiry in Eurasia, directly addressing national strategic priorities while honoring our city's intellectual heritage. The central figure driving this endeavor is an internationally recognized</w:t>
      </w:r>
      <w:r>
        <w:t xml:space="preserve"> </w:t>
      </w:r>
      <w:r>
        <w:rPr>
          <w:bCs/>
          <w:b/>
        </w:rPr>
        <w:t xml:space="preserve">Mathematician</w:t>
      </w:r>
      <w:r>
        <w:t xml:space="preserve"> </w:t>
      </w:r>
      <w:r>
        <w:t xml:space="preserve">with expertise spanning algebraic geometry, computational topology, and quantum algorithms—fields critical to Russia's digital transformation goals.</w:t>
      </w:r>
    </w:p>
    <w:bookmarkEnd w:id="20"/>
    <w:bookmarkStart w:id="21" w:name="X30eb82a6a341185f30d47dfbb0d2d14e31027a1"/>
    <w:p>
      <w:pPr>
        <w:pStyle w:val="Heading2"/>
      </w:pPr>
      <w:r>
        <w:t xml:space="preserve">Research Objectives: Bridging Theory and National Strategy</w:t>
      </w:r>
    </w:p>
    <w:p>
      <w:pPr>
        <w:pStyle w:val="FirstParagraph"/>
      </w:pPr>
      <w:r>
        <w:t xml:space="preserve">This project targets three interlocking objectives aligned with Moscow's 2030 Scientific Development Plan:</w:t>
      </w:r>
    </w:p>
    <w:p>
      <w:pPr>
        <w:numPr>
          <w:ilvl w:val="0"/>
          <w:numId w:val="1001"/>
        </w:numPr>
        <w:pStyle w:val="Compact"/>
      </w:pPr>
      <w:r>
        <w:rPr>
          <w:bCs/>
          <w:b/>
        </w:rPr>
        <w:t xml:space="preserve">Developing AI-Resilient Cryptographic Systems</w:t>
      </w:r>
      <w:r>
        <w:t xml:space="preserve">: Creating next-generation post-quantum cryptography algorithms resistant to quantum computing threats, directly supporting Russia's national cybersecurity infrastructure.</w:t>
      </w:r>
    </w:p>
    <w:p>
      <w:pPr>
        <w:numPr>
          <w:ilvl w:val="0"/>
          <w:numId w:val="1001"/>
        </w:numPr>
        <w:pStyle w:val="Compact"/>
      </w:pPr>
      <w:r>
        <w:rPr>
          <w:bCs/>
          <w:b/>
        </w:rPr>
        <w:t xml:space="preserve">Advancing Mathematical Modeling for Energy Grid Optimization</w:t>
      </w:r>
      <w:r>
        <w:t xml:space="preserve">: Designing high-fidelity mathematical frameworks to maximize efficiency in Moscow's smart grid networks, reducing energy waste by 15% in pilot implementations.</w:t>
      </w:r>
    </w:p>
    <w:p>
      <w:pPr>
        <w:numPr>
          <w:ilvl w:val="0"/>
          <w:numId w:val="1001"/>
        </w:numPr>
        <w:pStyle w:val="Compact"/>
      </w:pPr>
      <w:r>
        <w:rPr>
          <w:bCs/>
          <w:b/>
        </w:rPr>
        <w:t xml:space="preserve">Establishing the Moscow Center for Pure and Applied Mathematics (MCPAM)</w:t>
      </w:r>
      <w:r>
        <w:t xml:space="preserve">: Creating a permanent interdisciplinary research hub within the Moscow Institute of Physics and Technology (MIPT) to sustain long-term mathematical innovation.</w:t>
      </w:r>
    </w:p>
    <w:bookmarkEnd w:id="21"/>
    <w:bookmarkStart w:id="22" w:name="Xd18bc6c57bcbdaa36cdf4be852f5f6582f27e1a"/>
    <w:p>
      <w:pPr>
        <w:pStyle w:val="Heading2"/>
      </w:pPr>
      <w:r>
        <w:t xml:space="preserve">Significance: Why This Research Matters in Russia Moscow Context</w:t>
      </w:r>
    </w:p>
    <w:p>
      <w:pPr>
        <w:pStyle w:val="FirstParagraph"/>
      </w:pPr>
      <w:r>
        <w:t xml:space="preserve">Russia's technological sovereignty hinges on indigenous mathematical capability. Current global cryptographic standards face obsolescence within a decade due to quantum computing advances—a vulnerability the Russian government has identified as "strategic national risk." Our</w:t>
      </w:r>
      <w:r>
        <w:t xml:space="preserve"> </w:t>
      </w:r>
      <w:r>
        <w:rPr>
          <w:bCs/>
          <w:b/>
        </w:rPr>
        <w:t xml:space="preserve">Research Proposal</w:t>
      </w:r>
      <w:r>
        <w:t xml:space="preserve"> </w:t>
      </w:r>
      <w:r>
        <w:t xml:space="preserve">directly addresses this by positioning the Moscow-based</w:t>
      </w:r>
      <w:r>
        <w:t xml:space="preserve"> </w:t>
      </w:r>
      <w:r>
        <w:rPr>
          <w:bCs/>
          <w:b/>
        </w:rPr>
        <w:t xml:space="preserve">Mathematician</w:t>
      </w:r>
      <w:r>
        <w:t xml:space="preserve"> </w:t>
      </w:r>
      <w:r>
        <w:t xml:space="preserve">and team as pivotal guardians of national digital security. Furthermore, Moscow's unique ecosystem—combining elite institutions like Steklov Mathematical Institute, MIPT, and Skolkovo Innovation Center—provides an unparalleled environment for collaborative breakthroughs. Unlike Western counterparts constrained by export controls on cryptographic research, our Moscow-based initiative operates within Russia's regulatory framework to deliver immediately deployable solutions.</w:t>
      </w:r>
    </w:p>
    <w:p>
      <w:pPr>
        <w:pStyle w:val="BodyText"/>
      </w:pPr>
      <w:r>
        <w:t xml:space="preserve">This project also confronts the critical brain drain affecting Russian STEM fields. By creating a world-class research environment in Moscow with competitive resources and international partnerships, we will retain top talent previously lured by Western universities. The establishment of MCPAM will become a magnet for the next generation of Russian mathematicians, ensuring the city's mathematical legacy continues to thrive.</w:t>
      </w:r>
    </w:p>
    <w:bookmarkEnd w:id="22"/>
    <w:bookmarkStart w:id="23" w:name="X5668e0dd89ff5153cd67fcb62c2b5919331bcc0"/>
    <w:p>
      <w:pPr>
        <w:pStyle w:val="Heading2"/>
      </w:pPr>
      <w:r>
        <w:t xml:space="preserve">Methodology: A Tripartite Research Approach</w:t>
      </w:r>
    </w:p>
    <w:p>
      <w:pPr>
        <w:pStyle w:val="FirstParagraph"/>
      </w:pPr>
      <w:r>
        <w:t xml:space="preserve">The research employs a three-pronged methodology leveraging Moscow's academic infrastructure:</w:t>
      </w:r>
    </w:p>
    <w:p>
      <w:pPr>
        <w:numPr>
          <w:ilvl w:val="0"/>
          <w:numId w:val="1002"/>
        </w:numPr>
        <w:pStyle w:val="Compact"/>
      </w:pPr>
      <w:r>
        <w:rPr>
          <w:bCs/>
          <w:b/>
        </w:rPr>
        <w:t xml:space="preserve">Theoretical Innovation Lab (MIPT Campus)</w:t>
      </w:r>
      <w:r>
        <w:t xml:space="preserve">: The lead</w:t>
      </w:r>
      <w:r>
        <w:t xml:space="preserve"> </w:t>
      </w:r>
      <w:r>
        <w:rPr>
          <w:bCs/>
          <w:b/>
        </w:rPr>
        <w:t xml:space="preserve">Mathematician</w:t>
      </w:r>
      <w:r>
        <w:t xml:space="preserve"> </w:t>
      </w:r>
      <w:r>
        <w:t xml:space="preserve">will spearhead abstract work on lattice-based cryptography and topological data analysis, publishing in peer-reviewed journals like "Proceedings of the Steklov Institute of Mathematics" and collaborating with Moscow State University's algebra group.</w:t>
      </w:r>
    </w:p>
    <w:p>
      <w:pPr>
        <w:numPr>
          <w:ilvl w:val="0"/>
          <w:numId w:val="1002"/>
        </w:numPr>
        <w:pStyle w:val="Compact"/>
      </w:pPr>
      <w:r>
        <w:rPr>
          <w:bCs/>
          <w:b/>
        </w:rPr>
        <w:t xml:space="preserve">Industry Partnership Accelerator (Skolkovo)</w:t>
      </w:r>
      <w:r>
        <w:t xml:space="preserve">: Direct integration with Russian tech firms (e.g., Yandex, Kaspersky) to validate algorithms in real-world cybersecurity and energy management systems, ensuring immediate practical impact for Moscow's digital economy.</w:t>
      </w:r>
    </w:p>
    <w:p>
      <w:pPr>
        <w:numPr>
          <w:ilvl w:val="0"/>
          <w:numId w:val="1002"/>
        </w:numPr>
        <w:pStyle w:val="Compact"/>
      </w:pPr>
      <w:r>
        <w:rPr>
          <w:bCs/>
          <w:b/>
        </w:rPr>
        <w:t xml:space="preserve">International Collaboration Network</w:t>
      </w:r>
      <w:r>
        <w:t xml:space="preserve">: Strategic partnerships with ETH Zurich and Institute of Mathematics of the Polish Academy will facilitate knowledge exchange while maintaining data sovereignty within Russia's technological ecosystem. All international collaborations will comply with Russian Federal Law No. 149-FZ on Data Localization.</w:t>
      </w:r>
    </w:p>
    <w:bookmarkEnd w:id="23"/>
    <w:bookmarkStart w:id="24" w:name="Xff6964627834e95c4f99a27a8290b04f94357e4"/>
    <w:p>
      <w:pPr>
        <w:pStyle w:val="Heading2"/>
      </w:pPr>
      <w:r>
        <w:t xml:space="preserve">Expected Outcomes: Tangible Impact for Russia Moscow</w:t>
      </w:r>
    </w:p>
    <w:p>
      <w:pPr>
        <w:pStyle w:val="FirstParagraph"/>
      </w:pPr>
      <w:r>
        <w:t xml:space="preserve">We project the following concrete deliverables over a 36-month period:</w:t>
      </w:r>
    </w:p>
    <w:p>
      <w:pPr>
        <w:numPr>
          <w:ilvl w:val="0"/>
          <w:numId w:val="1003"/>
        </w:numPr>
        <w:pStyle w:val="Compact"/>
      </w:pPr>
      <w:r>
        <w:t xml:space="preserve">Patent applications for 3 cryptographic protocols by Year 2, forming the basis of new Russian national standards.</w:t>
      </w:r>
    </w:p>
    <w:p>
      <w:pPr>
        <w:numPr>
          <w:ilvl w:val="0"/>
          <w:numId w:val="1003"/>
        </w:numPr>
        <w:pStyle w:val="Compact"/>
      </w:pPr>
      <w:r>
        <w:t xml:space="preserve">A public open-source library of mathematical tools optimized for Moscow's energy infrastructure (to be adopted by Mosenergo and other state utilities).</w:t>
      </w:r>
    </w:p>
    <w:p>
      <w:pPr>
        <w:numPr>
          <w:ilvl w:val="0"/>
          <w:numId w:val="1003"/>
        </w:numPr>
        <w:pStyle w:val="Compact"/>
      </w:pPr>
      <w:r>
        <w:t xml:space="preserve">Publication of at least 15 high-impact papers in Q1 journals, establishing Moscow as a reference point for applied mathematics.</w:t>
      </w:r>
    </w:p>
    <w:p>
      <w:pPr>
        <w:numPr>
          <w:ilvl w:val="0"/>
          <w:numId w:val="1003"/>
        </w:numPr>
        <w:pStyle w:val="Compact"/>
      </w:pPr>
      <w:r>
        <w:t xml:space="preserve">Training of 30+ graduate students from Russian universities through MCPAM's fellowship program.</w:t>
      </w:r>
    </w:p>
    <w:p>
      <w:pPr>
        <w:pStyle w:val="FirstParagraph"/>
      </w:pPr>
      <w:r>
        <w:t xml:space="preserve">The societal impact extends beyond technology. By embedding mathematics within critical infrastructure—such as the Moscow Metro's operational algorithms or the city's air quality prediction systems—we demonstrate how abstract mathematical research directly improves citizens' daily lives. This aligns with President Putin's 2023 directive to "make science a driver of public welfare in Russia."</w:t>
      </w:r>
    </w:p>
    <w:bookmarkEnd w:id="24"/>
    <w:bookmarkStart w:id="25" w:name="X28ab791d6c216ff9fe25cd1616e43562e830248"/>
    <w:p>
      <w:pPr>
        <w:pStyle w:val="Heading2"/>
      </w:pPr>
      <w:r>
        <w:t xml:space="preserve">Timeline: Phased Implementation for Moscow Realities</w:t>
      </w:r>
    </w:p>
    <w:p>
      <w:pPr>
        <w:pStyle w:val="FirstParagraph"/>
      </w:pPr>
      <w:r>
        <w:rPr>
          <w:bCs/>
          <w:b/>
        </w:rPr>
        <w:t xml:space="preserve">Months 1-6:</w:t>
      </w:r>
      <w:r>
        <w:t xml:space="preserve"> </w:t>
      </w:r>
      <w:r>
        <w:t xml:space="preserve">Team formation and infrastructure setup at MIPT; preliminary cryptographic analysis.</w:t>
      </w:r>
    </w:p>
    <w:p>
      <w:pPr>
        <w:pStyle w:val="BodyText"/>
      </w:pPr>
      <w:r>
        <w:rPr>
          <w:bCs/>
          <w:b/>
        </w:rPr>
        <w:t xml:space="preserve">Months 7-18:</w:t>
      </w:r>
      <w:r>
        <w:t xml:space="preserve"> </w:t>
      </w:r>
      <w:r>
        <w:t xml:space="preserve">Core algorithm development; industry co-design workshops with Skolkovo partners.</w:t>
      </w:r>
    </w:p>
    <w:p>
      <w:pPr>
        <w:pStyle w:val="BodyText"/>
      </w:pPr>
      <w:r>
        <w:rPr>
          <w:bCs/>
          <w:b/>
        </w:rPr>
        <w:t xml:space="preserve">Months 19-30:</w:t>
      </w:r>
      <w:r>
        <w:t xml:space="preserve"> </w:t>
      </w:r>
      <w:r>
        <w:t xml:space="preserve">Field testing in Moscow energy networks; first patent filings.</w:t>
      </w:r>
    </w:p>
    <w:p>
      <w:pPr>
        <w:pStyle w:val="BodyText"/>
      </w:pPr>
      <w:r>
        <w:rPr>
          <w:bCs/>
          <w:b/>
        </w:rPr>
        <w:t xml:space="preserve">Months 31-36:</w:t>
      </w:r>
      <w:r>
        <w:t xml:space="preserve"> </w:t>
      </w:r>
      <w:r>
        <w:t xml:space="preserve">MCPAM launch as independent entity; national standard adoption process initiation.</w:t>
      </w:r>
    </w:p>
    <w:bookmarkEnd w:id="25"/>
    <w:bookmarkStart w:id="26" w:name="Xa711c348c08f25085390d40fa6478e1f528aed2"/>
    <w:p>
      <w:pPr>
        <w:pStyle w:val="Heading2"/>
      </w:pPr>
      <w:r>
        <w:t xml:space="preserve">Budget Justification: Strategic Investment for National Sovereignty</w:t>
      </w:r>
    </w:p>
    <w:p>
      <w:pPr>
        <w:pStyle w:val="FirstParagraph"/>
      </w:pPr>
      <w:r>
        <w:t xml:space="preserve">The requested $1.8 million (all funds allocated within Russia) will be deployed with maximum efficiency:</w:t>
      </w:r>
    </w:p>
    <w:p>
      <w:pPr>
        <w:numPr>
          <w:ilvl w:val="0"/>
          <w:numId w:val="1004"/>
        </w:numPr>
        <w:pStyle w:val="Compact"/>
      </w:pPr>
      <w:r>
        <w:t xml:space="preserve">65% to personnel (including competitive salaries for Moscow-based researchers—exceeding Western equivalents by 30% to counter brain drain)</w:t>
      </w:r>
    </w:p>
    <w:p>
      <w:pPr>
        <w:numPr>
          <w:ilvl w:val="0"/>
          <w:numId w:val="1004"/>
        </w:numPr>
        <w:pStyle w:val="Compact"/>
      </w:pPr>
      <w:r>
        <w:t xml:space="preserve">20% to computational infrastructure (high-performance clusters at Moscow's National Supercomputing Center)</w:t>
      </w:r>
    </w:p>
    <w:p>
      <w:pPr>
        <w:numPr>
          <w:ilvl w:val="0"/>
          <w:numId w:val="1004"/>
        </w:numPr>
        <w:pStyle w:val="Compact"/>
      </w:pPr>
      <w:r>
        <w:t xml:space="preserve">15% to international collaboration and open-access publishing</w:t>
      </w:r>
    </w:p>
    <w:p>
      <w:pPr>
        <w:pStyle w:val="FirstParagraph"/>
      </w:pPr>
      <w:r>
        <w:t xml:space="preserve">This investment yields significant ROI: every dollar spent generates an estimated $4.3 in reduced cybersecurity costs for Russian enterprises, per a 2023 Ministry of Digital Development report. Crucially, all intellectual property will remain under Russian ownership—a strategic necessity for Moscow's technological independence.</w:t>
      </w:r>
    </w:p>
    <w:bookmarkEnd w:id="26"/>
    <w:bookmarkStart w:id="27" w:name="Xf5d80b21819f875770655fa1c8933bce189f602"/>
    <w:p>
      <w:pPr>
        <w:pStyle w:val="Heading2"/>
      </w:pPr>
      <w:r>
        <w:t xml:space="preserve">Conclusion: Securing Russia Moscow's Mathematical Future</w:t>
      </w:r>
    </w:p>
    <w:p>
      <w:pPr>
        <w:pStyle w:val="FirstParagraph"/>
      </w:pPr>
      <w:r>
        <w:t xml:space="preserve">This</w:t>
      </w:r>
      <w:r>
        <w:t xml:space="preserve"> </w:t>
      </w:r>
      <w:r>
        <w:rPr>
          <w:bCs/>
          <w:b/>
        </w:rPr>
        <w:t xml:space="preserve">Research Proposal</w:t>
      </w:r>
      <w:r>
        <w:t xml:space="preserve"> </w:t>
      </w:r>
      <w:r>
        <w:t xml:space="preserve">transcends academic inquiry; it is a national imperative. By centering our work in the vibrant intellectual landscape of Russia Moscow, we honor centuries of mathematical excellence while forging new pathways for the future. The lead</w:t>
      </w:r>
      <w:r>
        <w:t xml:space="preserve"> </w:t>
      </w:r>
      <w:r>
        <w:rPr>
          <w:bCs/>
          <w:b/>
        </w:rPr>
        <w:t xml:space="preserve">Mathematician</w:t>
      </w:r>
      <w:r>
        <w:t xml:space="preserve">, with their proven record in algorithmic innovation and experience within Russian academic traditions, is uniquely positioned to catalyze this transformation. As Moscow evolves from a historical mathematics center to a global innovation powerhouse, this project will provide the critical infrastructure—and the world-class talent—to ensure Russia maintains its strategic position in the mathematical sciences.</w:t>
      </w:r>
    </w:p>
    <w:p>
      <w:pPr>
        <w:pStyle w:val="BodyText"/>
      </w:pPr>
      <w:r>
        <w:t xml:space="preserve">Acceptance of this proposal will place Moscow at the vanguard of mathematics-driven national development. It embodies our commitment to building an intellectually sovereign Russia where theoretical brilliance directly serves public prosperity—proving that in the heart of Russia Moscow, mathematics remains not just a discipline, but a cornerstone of national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Russia Moscow</dc:title>
  <dc:creator/>
  <dc:language>en</dc:language>
  <cp:keywords/>
  <dcterms:created xsi:type="dcterms:W3CDTF">2026-07-21T14:33:53Z</dcterms:created>
  <dcterms:modified xsi:type="dcterms:W3CDTF">2026-07-21T14:33:53Z</dcterms:modified>
</cp:coreProperties>
</file>

<file path=docProps/custom.xml><?xml version="1.0" encoding="utf-8"?>
<Properties xmlns="http://schemas.openxmlformats.org/officeDocument/2006/custom-properties" xmlns:vt="http://schemas.openxmlformats.org/officeDocument/2006/docPropsVTypes"/>
</file>