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a920a22ebc73b79008873764b63f2a5eccd14ba"/>
    <w:p>
      <w:pPr>
        <w:pStyle w:val="Heading1"/>
      </w:pPr>
      <w:r>
        <w:t xml:space="preserve">Research Proposal: Cultivating Local Mathematical Excellence for Riyadh's Vision 2030 Transformation</w:t>
      </w:r>
    </w:p>
    <w:bookmarkStart w:id="20" w:name="abstract"/>
    <w:p>
      <w:pPr>
        <w:pStyle w:val="Heading2"/>
      </w:pPr>
      <w:r>
        <w:t xml:space="preserve">Abstract</w:t>
      </w:r>
    </w:p>
    <w:p>
      <w:pPr>
        <w:pStyle w:val="FirstParagraph"/>
      </w:pPr>
      <w:r>
        <w:t xml:space="preserve">This comprehensive Research Proposal addresses a critical gap in Saudi Arabia's national development strategy: the strategic cultivation of world-class mathematical expertise within Riyadh. As Saudi Arabia accelerates its Vision 2030 goals, driven by technological innovation and economic diversification, the role of the</w:t>
      </w:r>
      <w:r>
        <w:t xml:space="preserve"> </w:t>
      </w:r>
      <w:r>
        <w:rPr>
          <w:bCs/>
          <w:b/>
        </w:rPr>
        <w:t xml:space="preserve">Mathematician</w:t>
      </w:r>
      <w:r>
        <w:t xml:space="preserve"> </w:t>
      </w:r>
      <w:r>
        <w:t xml:space="preserve">becomes increasingly pivotal. This proposal outlines a focused research initiative designed to empower Saudi</w:t>
      </w:r>
      <w:r>
        <w:t xml:space="preserve"> </w:t>
      </w:r>
      <w:r>
        <w:rPr>
          <w:bCs/>
          <w:b/>
        </w:rPr>
        <w:t xml:space="preserve">Mathematician</w:t>
      </w:r>
      <w:r>
        <w:t xml:space="preserve">s through advanced training, industry-academia collaboration, and cutting-edge problem-solving aligned with Riyadh's unique developmental needs. The project directly supports the Kingdom's ambition to become a global hub for science and technology innovation by leveraging the dynamic ecosystem of Riyadh as its primary operational base.</w:t>
      </w:r>
    </w:p>
    <w:bookmarkEnd w:id="20"/>
    <w:bookmarkStart w:id="21" w:name="Xf49d9bba10b20738dec7c2ca3d7baaea88ed6fb"/>
    <w:p>
      <w:pPr>
        <w:pStyle w:val="Heading2"/>
      </w:pPr>
      <w:r>
        <w:t xml:space="preserve">1. Introduction: The Imperative for Mathematical Leadership in Riyadh</w:t>
      </w:r>
    </w:p>
    <w:p>
      <w:pPr>
        <w:pStyle w:val="FirstParagraph"/>
      </w:pPr>
      <w:r>
        <w:t xml:space="preserve">Riyadh, as the vibrant capital and administrative heart of Saudi Arabia, stands at the epicenter of national transformation. Vision 2030 explicitly prioritizes knowledge-based economic growth, demanding sophisticated mathematical modeling across sectors like artificial intelligence (AI), data science, smart infrastructure, renewable energy integration, and financial technology. Despite significant investment in education and research facilities—including institutions like King Abdullah University of Science and Technology (KAUST) within the Riyadh metropolitan area—there remains a pressing need for a deeper pool of locally trained, internationally competitive</w:t>
      </w:r>
      <w:r>
        <w:t xml:space="preserve"> </w:t>
      </w:r>
      <w:r>
        <w:rPr>
          <w:bCs/>
          <w:b/>
        </w:rPr>
        <w:t xml:space="preserve">Mathematician</w:t>
      </w:r>
      <w:r>
        <w:t xml:space="preserve">s capable of tackling complex, Saudi-specific challenges. This</w:t>
      </w:r>
      <w:r>
        <w:t xml:space="preserve"> </w:t>
      </w:r>
      <w:r>
        <w:rPr>
          <w:bCs/>
          <w:b/>
        </w:rPr>
        <w:t xml:space="preserve">Research Proposal</w:t>
      </w:r>
      <w:r>
        <w:t xml:space="preserve"> </w:t>
      </w:r>
      <w:r>
        <w:t xml:space="preserve">directly responds to this imperative by establishing a dedicated framework for advanced mathematical research and talent development within Riyadh.</w:t>
      </w:r>
    </w:p>
    <w:bookmarkEnd w:id="21"/>
    <w:bookmarkStart w:id="22" w:name="Xdff2d22dac20eb1cde8122acc9c6e03b503b466"/>
    <w:p>
      <w:pPr>
        <w:pStyle w:val="Heading2"/>
      </w:pPr>
      <w:r>
        <w:t xml:space="preserve">2. Problem Statement: The Gap in Strategic Mathematical Capacity</w:t>
      </w:r>
    </w:p>
    <w:p>
      <w:pPr>
        <w:pStyle w:val="FirstParagraph"/>
      </w:pPr>
      <w:r>
        <w:t xml:space="preserve">The current landscape reveals a critical mismatch between the Kingdom's ambitious technological goals and the supply of skilled mathematical professionals embedded within the local ecosystem. While universities produce graduates, there is a shortage of Saudi</w:t>
      </w:r>
      <w:r>
        <w:t xml:space="preserve"> </w:t>
      </w:r>
      <w:r>
        <w:rPr>
          <w:bCs/>
          <w:b/>
        </w:rPr>
        <w:t xml:space="preserve">Mathematician</w:t>
      </w:r>
      <w:r>
        <w:t xml:space="preserve">s with advanced research capabilities and practical industry experience directly applicable to Riyadh's evolving economic sectors. Many high-value mathematical roles are filled by international experts, limiting knowledge transfer and long-term domestic capacity building. This gap hinders the Kingdom's ability to fully leverage data-driven solutions for national challenges such as optimizing water management in arid environments, enhancing AI ethics frameworks for regional applications, or developing resilient urban logistics models for a rapidly growing metropolis like Riyadh. A targeted</w:t>
      </w:r>
      <w:r>
        <w:t xml:space="preserve"> </w:t>
      </w:r>
      <w:r>
        <w:rPr>
          <w:bCs/>
          <w:b/>
        </w:rPr>
        <w:t xml:space="preserve">Research Proposal</w:t>
      </w:r>
      <w:r>
        <w:t xml:space="preserve"> </w:t>
      </w:r>
      <w:r>
        <w:t xml:space="preserve">is essential to bridge this strategic deficit.</w:t>
      </w:r>
    </w:p>
    <w:bookmarkEnd w:id="22"/>
    <w:bookmarkStart w:id="23" w:name="X89d85ba25d84ae4fe712e93cc9933cb776e94aa"/>
    <w:p>
      <w:pPr>
        <w:pStyle w:val="Heading2"/>
      </w:pPr>
      <w:r>
        <w:t xml:space="preserve">3. Research Objectives: Focusing on Riyadh's Needs</w:t>
      </w:r>
    </w:p>
    <w:p>
      <w:pPr>
        <w:pStyle w:val="FirstParagraph"/>
      </w:pPr>
      <w:r>
        <w:t xml:space="preserve">This research initiative, centered in Riyadh, aims to achieve the following specific objectives:</w:t>
      </w:r>
    </w:p>
    <w:p>
      <w:pPr>
        <w:numPr>
          <w:ilvl w:val="0"/>
          <w:numId w:val="1001"/>
        </w:numPr>
        <w:pStyle w:val="Compact"/>
      </w:pPr>
      <w:r>
        <w:rPr>
          <w:bCs/>
          <w:b/>
        </w:rPr>
        <w:t xml:space="preserve">Develop a Specialized Training Program:</w:t>
      </w:r>
      <w:r>
        <w:t xml:space="preserve"> </w:t>
      </w:r>
      <w:r>
        <w:t xml:space="preserve">Create an advanced fellowship program for Saudi mathematicians within Riyadh-based institutions (e.g., KAUST, King Saud University), focusing on applied mathematics with direct relevance to Vision 2030 sectors like AI, energy systems, and urban planning.</w:t>
      </w:r>
    </w:p>
    <w:p>
      <w:pPr>
        <w:numPr>
          <w:ilvl w:val="0"/>
          <w:numId w:val="1001"/>
        </w:numPr>
        <w:pStyle w:val="Compact"/>
      </w:pPr>
      <w:r>
        <w:rPr>
          <w:bCs/>
          <w:b/>
        </w:rPr>
        <w:t xml:space="preserve">Forge Strategic Industry Partnerships:</w:t>
      </w:r>
      <w:r>
        <w:t xml:space="preserve"> </w:t>
      </w:r>
      <w:r>
        <w:t xml:space="preserve">Establish collaborative research projects between Riyadh-based mathematicians and key local industries (e.g., Saudi Aramco, NEOM, Riyadh Smart City initiatives) to solve real-world problems using mathematical modeling.</w:t>
      </w:r>
    </w:p>
    <w:p>
      <w:pPr>
        <w:numPr>
          <w:ilvl w:val="0"/>
          <w:numId w:val="1001"/>
        </w:numPr>
        <w:pStyle w:val="Compact"/>
      </w:pPr>
      <w:r>
        <w:rPr>
          <w:bCs/>
          <w:b/>
        </w:rPr>
        <w:t xml:space="preserve">Cultivate a Local Research Hub:</w:t>
      </w:r>
      <w:r>
        <w:t xml:space="preserve"> </w:t>
      </w:r>
      <w:r>
        <w:t xml:space="preserve">Position Riyadh as a recognized center for innovative mathematical research within the GCC region by establishing an interdisciplinary research group focused on Kingdom-specific challenges.</w:t>
      </w:r>
    </w:p>
    <w:p>
      <w:pPr>
        <w:numPr>
          <w:ilvl w:val="0"/>
          <w:numId w:val="1001"/>
        </w:numPr>
        <w:pStyle w:val="Compact"/>
      </w:pPr>
      <w:r>
        <w:rPr>
          <w:bCs/>
          <w:b/>
        </w:rPr>
        <w:t xml:space="preserve">Enhance National Capacity:</w:t>
      </w:r>
      <w:r>
        <w:t xml:space="preserve"> </w:t>
      </w:r>
      <w:r>
        <w:t xml:space="preserve">Train and mentor at least 25 highly skilled Saudi mathematicians within three years, enabling them to lead critical projects across government and private sectors in Riyadh.</w:t>
      </w:r>
    </w:p>
    <w:bookmarkEnd w:id="23"/>
    <w:bookmarkStart w:id="24" w:name="X343f2bfc99cb641e51b9c21d6a47e3177f9e923"/>
    <w:p>
      <w:pPr>
        <w:pStyle w:val="Heading2"/>
      </w:pPr>
      <w:r>
        <w:t xml:space="preserve">4. Methodology: Action-Oriented Research in Riyadh</w:t>
      </w:r>
    </w:p>
    <w:p>
      <w:pPr>
        <w:pStyle w:val="FirstParagraph"/>
      </w:pPr>
      <w:r>
        <w:t xml:space="preserve">The methodology is designed for maximum impact within the Riyadh context:</w:t>
      </w:r>
    </w:p>
    <w:p>
      <w:pPr>
        <w:numPr>
          <w:ilvl w:val="0"/>
          <w:numId w:val="1002"/>
        </w:numPr>
        <w:pStyle w:val="Compact"/>
      </w:pPr>
      <w:r>
        <w:rPr>
          <w:bCs/>
          <w:b/>
        </w:rPr>
        <w:t xml:space="preserve">Needs Assessment &amp; Co-Design:</w:t>
      </w:r>
      <w:r>
        <w:t xml:space="preserve"> </w:t>
      </w:r>
      <w:r>
        <w:t xml:space="preserve">Conduct workshops with Riyadh-based industry leaders (e.g., Saudi Data &amp; Artificial Intelligence Authority - SDAIA, Ministry of Energy) to identify priority mathematical challenges.</w:t>
      </w:r>
    </w:p>
    <w:p>
      <w:pPr>
        <w:numPr>
          <w:ilvl w:val="0"/>
          <w:numId w:val="1002"/>
        </w:numPr>
        <w:pStyle w:val="Compact"/>
      </w:pPr>
      <w:r>
        <w:rPr>
          <w:bCs/>
          <w:b/>
        </w:rPr>
        <w:t xml:space="preserve">Interdisciplinary Research Teams:</w:t>
      </w:r>
      <w:r>
        <w:t xml:space="preserve"> </w:t>
      </w:r>
      <w:r>
        <w:t xml:space="preserve">Assemble teams comprising Saudi</w:t>
      </w:r>
      <w:r>
        <w:t xml:space="preserve"> </w:t>
      </w:r>
      <w:r>
        <w:rPr>
          <w:bCs/>
          <w:b/>
        </w:rPr>
        <w:t xml:space="preserve">Mathematician</w:t>
      </w:r>
      <w:r>
        <w:t xml:space="preserve">s, data scientists, and domain experts from Riyadh institutions to tackle projects like "Optimizing Solar Energy Grid Integration in Urban Riyadh" or "Predictive Modeling for Traffic Flow Management in the Riyadh Metropolitan Area."</w:t>
      </w:r>
    </w:p>
    <w:p>
      <w:pPr>
        <w:numPr>
          <w:ilvl w:val="0"/>
          <w:numId w:val="1002"/>
        </w:numPr>
        <w:pStyle w:val="Compact"/>
      </w:pPr>
      <w:r>
        <w:rPr>
          <w:bCs/>
          <w:b/>
        </w:rPr>
        <w:t xml:space="preserve">Industry Immersion:</w:t>
      </w:r>
      <w:r>
        <w:t xml:space="preserve"> </w:t>
      </w:r>
      <w:r>
        <w:t xml:space="preserve">Embed selected fellows within partner companies in Riyadh for practical research experience, ensuring solutions are directly applicable.</w:t>
      </w:r>
    </w:p>
    <w:p>
      <w:pPr>
        <w:numPr>
          <w:ilvl w:val="0"/>
          <w:numId w:val="1002"/>
        </w:numPr>
        <w:pStyle w:val="Compact"/>
      </w:pPr>
      <w:r>
        <w:rPr>
          <w:bCs/>
          <w:b/>
        </w:rPr>
        <w:t xml:space="preserve">Riyadh-Contextualized Outputs:</w:t>
      </w:r>
      <w:r>
        <w:t xml:space="preserve"> </w:t>
      </w:r>
      <w:r>
        <w:t xml:space="preserve">Prioritize research outputs (algorithms, models, frameworks) that can be immediately deployed or adapted by Riyadh's government entities and businesses.</w:t>
      </w:r>
    </w:p>
    <w:bookmarkEnd w:id="24"/>
    <w:bookmarkStart w:id="25" w:name="expected-outcomes-impact-on-saudi-arabia"/>
    <w:p>
      <w:pPr>
        <w:pStyle w:val="Heading2"/>
      </w:pPr>
      <w:r>
        <w:t xml:space="preserve">5. Expected Outcomes &amp; Impact on Saudi Arabia</w:t>
      </w:r>
    </w:p>
    <w:p>
      <w:pPr>
        <w:pStyle w:val="FirstParagraph"/>
      </w:pPr>
      <w:r>
        <w:t xml:space="preserve">This</w:t>
      </w:r>
      <w:r>
        <w:t xml:space="preserve"> </w:t>
      </w:r>
      <w:r>
        <w:rPr>
          <w:bCs/>
          <w:b/>
        </w:rPr>
        <w:t xml:space="preserve">Research Proposal</w:t>
      </w:r>
      <w:r>
        <w:t xml:space="preserve">, executed within the dynamic environment of Riyadh, will yield significant tangible and strategic benefits for Saudi Arabia:</w:t>
      </w:r>
    </w:p>
    <w:p>
      <w:pPr>
        <w:numPr>
          <w:ilvl w:val="0"/>
          <w:numId w:val="1003"/>
        </w:numPr>
        <w:pStyle w:val="Compact"/>
      </w:pPr>
      <w:r>
        <w:rPr>
          <w:bCs/>
          <w:b/>
        </w:rPr>
        <w:t xml:space="preserve">Demonstrable Skills Development:</w:t>
      </w:r>
      <w:r>
        <w:t xml:space="preserve"> </w:t>
      </w:r>
      <w:r>
        <w:t xml:space="preserve">A cohort of highly skilled, locally-based mathematicians equipped to lead technological innovation within Riyadh's burgeoning tech ecosystem.</w:t>
      </w:r>
    </w:p>
    <w:p>
      <w:pPr>
        <w:numPr>
          <w:ilvl w:val="0"/>
          <w:numId w:val="1003"/>
        </w:numPr>
        <w:pStyle w:val="Compact"/>
      </w:pPr>
      <w:r>
        <w:rPr>
          <w:bCs/>
          <w:b/>
        </w:rPr>
        <w:t xml:space="preserve">Immediate Industry Value:</w:t>
      </w:r>
      <w:r>
        <w:t xml:space="preserve"> </w:t>
      </w:r>
      <w:r>
        <w:t xml:space="preserve">Practical mathematical solutions addressing specific Riyadh and Saudi Arabia challenges, leading to improved efficiency, cost savings, or new service models for local partners.</w:t>
      </w:r>
    </w:p>
    <w:p>
      <w:pPr>
        <w:numPr>
          <w:ilvl w:val="0"/>
          <w:numId w:val="1003"/>
        </w:numPr>
        <w:pStyle w:val="Compact"/>
      </w:pPr>
      <w:r>
        <w:rPr>
          <w:bCs/>
          <w:b/>
        </w:rPr>
        <w:t xml:space="preserve">Enhanced National Reputation:</w:t>
      </w:r>
      <w:r>
        <w:t xml:space="preserve"> </w:t>
      </w:r>
      <w:r>
        <w:t xml:space="preserve">Elevating Saudi Arabia's standing as a country fostering world-class mathematical research through the successful output of its Riyadh-based talent.</w:t>
      </w:r>
    </w:p>
    <w:p>
      <w:pPr>
        <w:numPr>
          <w:ilvl w:val="0"/>
          <w:numId w:val="1003"/>
        </w:numPr>
        <w:pStyle w:val="Compact"/>
      </w:pPr>
      <w:r>
        <w:rPr>
          <w:bCs/>
          <w:b/>
        </w:rPr>
        <w:t xml:space="preserve">Sustainable Ecosystem Growth:</w:t>
      </w:r>
      <w:r>
        <w:t xml:space="preserve"> </w:t>
      </w:r>
      <w:r>
        <w:t xml:space="preserve">Establishing a self-sustaining model for advanced mathematical research within Riyadh, attracting further investment and talent to the region and supporting long-term Vision 2030 goals.</w:t>
      </w:r>
    </w:p>
    <w:bookmarkEnd w:id="25"/>
    <w:bookmarkStart w:id="26" w:name="Xcdfa72a2d3f47d12d87ae632a23823ee16cd6f3"/>
    <w:p>
      <w:pPr>
        <w:pStyle w:val="Heading2"/>
      </w:pPr>
      <w:r>
        <w:t xml:space="preserve">6. Timeline &amp; Resource Requirements (Riyadh Focus)</w:t>
      </w:r>
    </w:p>
    <w:p>
      <w:pPr>
        <w:pStyle w:val="FirstParagraph"/>
      </w:pPr>
      <w:r>
        <w:t xml:space="preserve">The project will be implemented over a 4-year period, with key milestones centered in Riyadh:</w:t>
      </w:r>
    </w:p>
    <w:p>
      <w:pPr>
        <w:pStyle w:val="BodyText"/>
      </w:pPr>
      <w:r>
        <w:t xml:space="preserve">Year</w:t>
      </w:r>
    </w:p>
    <w:p>
      <w:pPr>
        <w:pStyle w:val="BodyText"/>
      </w:pPr>
      <w:r>
        <w:t xml:space="preserve">Key Activities (Riyadh-Based)</w:t>
      </w:r>
    </w:p>
    <w:p>
      <w:pPr>
        <w:pStyle w:val="BodyText"/>
      </w:pPr>
      <w:r>
        <w:t xml:space="preserve">Year 1</w:t>
      </w:r>
    </w:p>
    <w:p>
      <w:pPr>
        <w:pStyle w:val="BodyText"/>
      </w:pPr>
      <w:r>
        <w:t xml:space="preserve">Needs assessment workshops; Fellowship program launch; Initial industry partnership signings in Riyadh.</w:t>
      </w:r>
    </w:p>
    <w:p>
      <w:pPr>
        <w:pStyle w:val="BodyText"/>
      </w:pPr>
      <w:r>
        <w:t xml:space="preserve">Year 2</w:t>
      </w:r>
    </w:p>
    <w:p>
      <w:pPr>
        <w:pStyle w:val="BodyText"/>
      </w:pPr>
      <w:r>
        <w:t xml:space="preserve">Ongoing fellow training at KAUST/Riyadh universities; First major industry-research projects initiated (e.g., AI for healthcare in Riyadh).</w:t>
      </w:r>
    </w:p>
    <w:p>
      <w:pPr>
        <w:pStyle w:val="BodyText"/>
      </w:pPr>
      <w:r>
        <w:t xml:space="preserve">Year 3</w:t>
      </w:r>
    </w:p>
    <w:p>
      <w:pPr>
        <w:pStyle w:val="BodyText"/>
      </w:pPr>
      <w:r>
        <w:rPr>
          <w:bCs/>
          <w:b/>
        </w:rPr>
        <w:t xml:space="preserve">Development of local research hub; Second cohort of fellows; Deployment of pilot solutions by Riyadh partners.</w:t>
      </w:r>
    </w:p>
    <w:p>
      <w:pPr>
        <w:pStyle w:val="BodyText"/>
      </w:pPr>
      <w:r>
        <w:t xml:space="preserve">Year 4</w:t>
      </w:r>
    </w:p>
    <w:p>
      <w:pPr>
        <w:pStyle w:val="BodyText"/>
      </w:pPr>
      <w:r>
        <w:t xml:space="preserve">Evaluation &amp; scaling plan; Final impact report for Saudi leadership; Sustainability model finalized for Riyadh-based operations.</w:t>
      </w:r>
    </w:p>
    <w:bookmarkEnd w:id="26"/>
    <w:bookmarkStart w:id="27" w:name="X699f0ffddabb1ff8c6977a9cb0dd78ac871f7de"/>
    <w:p>
      <w:pPr>
        <w:pStyle w:val="Heading2"/>
      </w:pPr>
      <w:r>
        <w:t xml:space="preserve">7. Conclusion: A Catalyst for Riyadh's Mathematical Future</w:t>
      </w:r>
    </w:p>
    <w:p>
      <w:pPr>
        <w:pStyle w:val="FirstParagraph"/>
      </w:pPr>
      <w:r>
        <w:t xml:space="preserve">This Research Proposal is not merely an academic exercise; it is a strategic investment in the future of Saudi Arabia and its capital city, Riyadh. By focusing intensely on developing homegrown mathematical expertise directly aligned with the Kingdom's Vision 2030 priorities, this initiative positions Riyadh as the indispensable engine for scientific and technological advancement within Saudi Arabia. Empowering</w:t>
      </w:r>
      <w:r>
        <w:t xml:space="preserve"> </w:t>
      </w:r>
      <w:r>
        <w:rPr>
          <w:bCs/>
          <w:b/>
        </w:rPr>
        <w:t xml:space="preserve">Mathematician</w:t>
      </w:r>
      <w:r>
        <w:t xml:space="preserve">s who understand both complex theory and the unique context of Riyadh's growth is fundamental to achieving national objectives. We request full support to establish this vital program in Riyadh, ensuring that Saudi Arabia harnesses its most valuable asset—its people—to lead the mathematical revolution driving the Kingdom's prosperous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Riyadh, Saudi Arabia</dc:title>
  <dc:creator/>
  <dc:language>en</dc:language>
  <cp:keywords/>
  <dcterms:created xsi:type="dcterms:W3CDTF">2026-09-26T08:16:06Z</dcterms:created>
  <dcterms:modified xsi:type="dcterms:W3CDTF">2026-09-26T08:16:06Z</dcterms:modified>
</cp:coreProperties>
</file>

<file path=docProps/custom.xml><?xml version="1.0" encoding="utf-8"?>
<Properties xmlns="http://schemas.openxmlformats.org/officeDocument/2006/custom-properties" xmlns:vt="http://schemas.openxmlformats.org/officeDocument/2006/docPropsVTypes"/>
</file>