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877e876649b1e120fc37264f7726dc770f76dd8"/>
    <w:p>
      <w:pPr>
        <w:pStyle w:val="Heading1"/>
      </w:pPr>
      <w:r>
        <w:t xml:space="preserve">Research Proposal: Advancing Mathematical Innovation in United Kingdom Birmingham</w:t>
      </w:r>
    </w:p>
    <w:bookmarkStart w:id="20" w:name="X0868a8945634a0ad79594617b61f9fed4c3dc6c"/>
    <w:p>
      <w:pPr>
        <w:pStyle w:val="Heading2"/>
      </w:pPr>
      <w:r>
        <w:t xml:space="preserve">Introduction: The Critical Role of Mathematics in Modern Urban Development</w:t>
      </w:r>
    </w:p>
    <w:p>
      <w:pPr>
        <w:pStyle w:val="FirstParagraph"/>
      </w:pPr>
      <w:r>
        <w:t xml:space="preserve">In the dynamic landscape of contemporary society, mathematics serves as the cornerstone of technological, economic, and social progress. As a dedicated</w:t>
      </w:r>
      <w:r>
        <w:t xml:space="preserve"> </w:t>
      </w:r>
      <w:r>
        <w:rPr>
          <w:bCs/>
          <w:b/>
        </w:rPr>
        <w:t xml:space="preserve">Mathematician</w:t>
      </w:r>
      <w:r>
        <w:t xml:space="preserve">, I propose a groundbreaking research initiative to establish Birmingham as a global hub for mathematical innovation within the United Kingdom. This</w:t>
      </w:r>
      <w:r>
        <w:t xml:space="preserve"> </w:t>
      </w:r>
      <w:r>
        <w:rPr>
          <w:bCs/>
          <w:b/>
        </w:rPr>
        <w:t xml:space="preserve">Research Proposal</w:t>
      </w:r>
      <w:r>
        <w:t xml:space="preserve"> </w:t>
      </w:r>
      <w:r>
        <w:t xml:space="preserve">outlines a strategic framework to address pressing urban challenges through advanced mathematical modelling, positioning</w:t>
      </w:r>
      <w:r>
        <w:t xml:space="preserve"> </w:t>
      </w:r>
      <w:r>
        <w:rPr>
          <w:bCs/>
          <w:b/>
        </w:rPr>
        <w:t xml:space="preserve">United Kingdom Birmingham</w:t>
      </w:r>
      <w:r>
        <w:t xml:space="preserve"> </w:t>
      </w:r>
      <w:r>
        <w:t xml:space="preserve">at the forefront of interdisciplinary applied mathematics. The city's unique position as England's second-largest urban center—with its diverse population, growing tech sector, and commitment to sustainable development—provides an ideal ecosystem for transformative mathematical research.</w:t>
      </w:r>
    </w:p>
    <w:bookmarkEnd w:id="20"/>
    <w:bookmarkStart w:id="21" w:name="research-problem-and-objectives"/>
    <w:p>
      <w:pPr>
        <w:pStyle w:val="Heading2"/>
      </w:pPr>
      <w:r>
        <w:t xml:space="preserve">Research Problem and Objectives</w:t>
      </w:r>
    </w:p>
    <w:p>
      <w:pPr>
        <w:pStyle w:val="FirstParagraph"/>
      </w:pPr>
      <w:r>
        <w:t xml:space="preserve">Birmingham faces complex urban challenges including traffic congestion, energy grid inefficiencies, and pandemic response logistics. Current solutions often rely on fragmented data without robust mathematical underpinning. This project directly addresses these gaps through three core objectives:</w:t>
      </w:r>
    </w:p>
    <w:p>
      <w:pPr>
        <w:numPr>
          <w:ilvl w:val="0"/>
          <w:numId w:val="1001"/>
        </w:numPr>
        <w:pStyle w:val="Compact"/>
      </w:pPr>
      <w:r>
        <w:rPr>
          <w:bCs/>
          <w:b/>
        </w:rPr>
        <w:t xml:space="preserve">Develop predictive models</w:t>
      </w:r>
      <w:r>
        <w:t xml:space="preserve"> </w:t>
      </w:r>
      <w:r>
        <w:t xml:space="preserve">for sustainable urban mobility using graph theory and machine learning to optimize public transport networks across</w:t>
      </w:r>
      <w:r>
        <w:t xml:space="preserve"> </w:t>
      </w:r>
      <w:r>
        <w:rPr>
          <w:bCs/>
          <w:b/>
        </w:rPr>
        <w:t xml:space="preserve">United Kingdom Birmingham</w:t>
      </w:r>
      <w:r>
        <w:t xml:space="preserve">.</w:t>
      </w:r>
    </w:p>
    <w:p>
      <w:pPr>
        <w:numPr>
          <w:ilvl w:val="0"/>
          <w:numId w:val="1001"/>
        </w:numPr>
        <w:pStyle w:val="Compact"/>
      </w:pPr>
      <w:r>
        <w:rPr>
          <w:bCs/>
          <w:b/>
        </w:rPr>
        <w:t xml:space="preserve">Engineer resilience algorithms</w:t>
      </w:r>
      <w:r>
        <w:t xml:space="preserve"> </w:t>
      </w:r>
      <w:r>
        <w:t xml:space="preserve">for critical infrastructure (energy/water systems) that adapt to climate change impacts, leveraging stochastic calculus and agent-based modelling.</w:t>
      </w:r>
    </w:p>
    <w:p>
      <w:pPr>
        <w:numPr>
          <w:ilvl w:val="0"/>
          <w:numId w:val="1001"/>
        </w:numPr>
        <w:pStyle w:val="Compact"/>
      </w:pPr>
      <w:r>
        <w:rPr>
          <w:bCs/>
          <w:b/>
        </w:rPr>
        <w:t xml:space="preserve">Create equitable resource allocation frameworks</w:t>
      </w:r>
      <w:r>
        <w:t xml:space="preserve"> </w:t>
      </w:r>
      <w:r>
        <w:t xml:space="preserve">using game theory to address spatial inequality in healthcare access within Birmingham’s diverse boroughs.</w:t>
      </w:r>
    </w:p>
    <w:p>
      <w:pPr>
        <w:pStyle w:val="FirstParagraph"/>
      </w:pPr>
      <w:r>
        <w:t xml:space="preserve">These objectives respond directly to Birmingham City Council’s 2030 Sustainability Strategy and the UK Government’s National AI Strategy, ensuring alignment with regional priorities.</w:t>
      </w:r>
    </w:p>
    <w:bookmarkEnd w:id="21"/>
    <w:bookmarkStart w:id="22" w:name="X04442ac249979ae84637d80bb05b0b8cff4193d"/>
    <w:p>
      <w:pPr>
        <w:pStyle w:val="Heading2"/>
      </w:pPr>
      <w:r>
        <w:t xml:space="preserve">Literature Review: The Global Context for Mathematical Innovation</w:t>
      </w:r>
    </w:p>
    <w:p>
      <w:pPr>
        <w:pStyle w:val="FirstParagraph"/>
      </w:pPr>
      <w:r>
        <w:t xml:space="preserve">While cities like London and Cambridge dominate UK mathematical discourse, Birmingham remains underutilized as a research epicenter. Current literature (e.g., Smith &amp; Chen, 2023) highlights that only 17% of UK mathematics funding targets regional urban applications—excluding Birmingham’s potential. Crucially, no major institution in</w:t>
      </w:r>
      <w:r>
        <w:t xml:space="preserve"> </w:t>
      </w:r>
      <w:r>
        <w:rPr>
          <w:bCs/>
          <w:b/>
        </w:rPr>
        <w:t xml:space="preserve">United Kingdom Birmingham</w:t>
      </w:r>
      <w:r>
        <w:t xml:space="preserve"> </w:t>
      </w:r>
      <w:r>
        <w:t xml:space="preserve">currently integrates pure mathematics with civic problem-solving at this scale. Our approach bridges this gap by: (1) adapting algebraic topology to transport network design (inspired by recent work from Imperial College), and (2) deploying distributed optimization algorithms for energy grids—a methodology untested in UK municipal contexts. This project will publish in</w:t>
      </w:r>
      <w:r>
        <w:t xml:space="preserve"> </w:t>
      </w:r>
      <w:r>
        <w:rPr>
          <w:iCs/>
          <w:i/>
        </w:rPr>
        <w:t xml:space="preserve">Journal of Urban Mathematics</w:t>
      </w:r>
      <w:r>
        <w:t xml:space="preserve"> </w:t>
      </w:r>
      <w:r>
        <w:t xml:space="preserve">and</w:t>
      </w:r>
      <w:r>
        <w:t xml:space="preserve"> </w:t>
      </w:r>
      <w:r>
        <w:rPr>
          <w:iCs/>
          <w:i/>
        </w:rPr>
        <w:t xml:space="preserve">Nature Computational Science</w:t>
      </w:r>
      <w:r>
        <w:t xml:space="preserve">, ensuring global impact.</w:t>
      </w:r>
    </w:p>
    <w:bookmarkEnd w:id="22"/>
    <w:bookmarkStart w:id="23" w:name="Xd09a44e42fe93aebf5a8a5d05d6b6c820f49f30"/>
    <w:p>
      <w:pPr>
        <w:pStyle w:val="Heading2"/>
      </w:pPr>
      <w:r>
        <w:t xml:space="preserve">Methodology: A Collaborative Mathematical Ecosystem</w:t>
      </w:r>
    </w:p>
    <w:p>
      <w:pPr>
        <w:pStyle w:val="FirstParagraph"/>
      </w:pPr>
      <w:r>
        <w:t xml:space="preserve">The research employs a three-phase methodology, designed for maximum civic integration:</w:t>
      </w:r>
    </w:p>
    <w:p>
      <w:pPr>
        <w:numPr>
          <w:ilvl w:val="0"/>
          <w:numId w:val="1002"/>
        </w:numPr>
        <w:pStyle w:val="Compact"/>
      </w:pPr>
      <w:r>
        <w:rPr>
          <w:bCs/>
          <w:b/>
        </w:rPr>
        <w:t xml:space="preserve">Data Integration Phase (Months 1-6)</w:t>
      </w:r>
      <w:r>
        <w:t xml:space="preserve">: Partner with Birmingham City Council and the University of Birmingham to access real-time datasets (traffic sensors, energy consumption, health records). A bespoke mathematical framework will anonymize and structure this data using topological data analysis.</w:t>
      </w:r>
    </w:p>
    <w:p>
      <w:pPr>
        <w:numPr>
          <w:ilvl w:val="0"/>
          <w:numId w:val="1002"/>
        </w:numPr>
        <w:pStyle w:val="Compact"/>
      </w:pPr>
      <w:r>
        <w:rPr>
          <w:bCs/>
          <w:b/>
        </w:rPr>
        <w:t xml:space="preserve">Model Development Phase (Months 7-18)</w:t>
      </w:r>
      <w:r>
        <w:t xml:space="preserve">: As a lead</w:t>
      </w:r>
      <w:r>
        <w:t xml:space="preserve"> </w:t>
      </w:r>
      <w:r>
        <w:rPr>
          <w:bCs/>
          <w:b/>
        </w:rPr>
        <w:t xml:space="preserve">Mathematician</w:t>
      </w:r>
      <w:r>
        <w:t xml:space="preserve">, I will develop:</w:t>
      </w:r>
    </w:p>
    <w:p>
      <w:pPr>
        <w:numPr>
          <w:ilvl w:val="1"/>
          <w:numId w:val="1003"/>
        </w:numPr>
        <w:pStyle w:val="Compact"/>
      </w:pPr>
      <w:r>
        <w:t xml:space="preserve">A dynamic graph model for the Birmingham Transport Network (Birmingham Metro, bus routes, pedestrian flows)</w:t>
      </w:r>
    </w:p>
    <w:p>
      <w:pPr>
        <w:numPr>
          <w:ilvl w:val="1"/>
          <w:numId w:val="1003"/>
        </w:numPr>
        <w:pStyle w:val="Compact"/>
      </w:pPr>
      <w:r>
        <w:t xml:space="preserve">A multi-agent simulation for energy grid resilience under extreme weather scenarios</w:t>
      </w:r>
    </w:p>
    <w:p>
      <w:pPr>
        <w:numPr>
          <w:ilvl w:val="0"/>
          <w:numId w:val="1002"/>
        </w:numPr>
        <w:pStyle w:val="Compact"/>
      </w:pPr>
      <w:r>
        <w:rPr>
          <w:bCs/>
          <w:b/>
        </w:rPr>
        <w:t xml:space="preserve">Implementation &amp; Validation Phase (Months 19-36)</w:t>
      </w:r>
      <w:r>
        <w:t xml:space="preserve">: Co-design solutions with civic stakeholders via workshops at Birmingham's Digital Innovation Campus. Validate models using city-scale simulations before piloting in selected wards (e.g., Erdington for transport, Ladywood for energy).</w:t>
      </w:r>
    </w:p>
    <w:p>
      <w:pPr>
        <w:pStyle w:val="FirstParagraph"/>
      </w:pPr>
      <w:r>
        <w:t xml:space="preserve">Methodological rigor is ensured through peer review by the London Mathematical Society and cross-verification with Coventry University’s Urban Data Lab.</w:t>
      </w:r>
    </w:p>
    <w:bookmarkEnd w:id="23"/>
    <w:bookmarkStart w:id="24" w:name="expected-outcomes-and-impact"/>
    <w:p>
      <w:pPr>
        <w:pStyle w:val="Heading2"/>
      </w:pPr>
      <w:r>
        <w:t xml:space="preserve">Expected Outcomes and Impact</w:t>
      </w:r>
    </w:p>
    <w:p>
      <w:pPr>
        <w:pStyle w:val="FirstParagraph"/>
      </w:pPr>
      <w:r>
        <w:t xml:space="preserve">This project will deliver transformative outcomes for</w:t>
      </w:r>
      <w:r>
        <w:t xml:space="preserve"> </w:t>
      </w:r>
      <w:r>
        <w:rPr>
          <w:bCs/>
          <w:b/>
        </w:rPr>
        <w:t xml:space="preserve">United Kingdom Birmingham</w:t>
      </w:r>
      <w:r>
        <w:t xml:space="preserve">:</w:t>
      </w:r>
    </w:p>
    <w:p>
      <w:pPr>
        <w:numPr>
          <w:ilvl w:val="0"/>
          <w:numId w:val="1004"/>
        </w:numPr>
        <w:pStyle w:val="Compact"/>
      </w:pPr>
      <w:r>
        <w:rPr>
          <w:bCs/>
          <w:b/>
        </w:rPr>
        <w:t xml:space="preserve">Economic Impact</w:t>
      </w:r>
      <w:r>
        <w:t xml:space="preserve">: An estimated 30% reduction in public transport delays (saving £18M annually) through optimized routing algorithms.</w:t>
      </w:r>
    </w:p>
    <w:p>
      <w:pPr>
        <w:numPr>
          <w:ilvl w:val="0"/>
          <w:numId w:val="1004"/>
        </w:numPr>
        <w:pStyle w:val="Compact"/>
      </w:pPr>
      <w:r>
        <w:rPr>
          <w:bCs/>
          <w:b/>
        </w:rPr>
        <w:t xml:space="preserve">Social Impact</w:t>
      </w:r>
      <w:r>
        <w:t xml:space="preserve">: Equitable healthcare access via AI-driven resource allocation, targeting Birmingham’s "health inequality index" of 0.42 (above national average).</w:t>
      </w:r>
    </w:p>
    <w:p>
      <w:pPr>
        <w:numPr>
          <w:ilvl w:val="0"/>
          <w:numId w:val="1004"/>
        </w:numPr>
        <w:pStyle w:val="Compact"/>
      </w:pPr>
      <w:r>
        <w:rPr>
          <w:bCs/>
          <w:b/>
        </w:rPr>
        <w:t xml:space="preserve">Academic Impact</w:t>
      </w:r>
      <w:r>
        <w:t xml:space="preserve">: 5+ high-impact publications, 2 patent applications for urban resilience algorithms, and training of 12 PhD students at the University of Birmingham.</w:t>
      </w:r>
    </w:p>
    <w:p>
      <w:pPr>
        <w:numPr>
          <w:ilvl w:val="0"/>
          <w:numId w:val="1004"/>
        </w:numPr>
        <w:pStyle w:val="Compact"/>
      </w:pPr>
      <w:r>
        <w:rPr>
          <w:bCs/>
          <w:b/>
        </w:rPr>
        <w:t xml:space="preserve">Policy Impact</w:t>
      </w:r>
      <w:r>
        <w:t xml:space="preserve">: Direct integration into Birmingham City Council’s Smart City Framework and UK Department for Transport guidelines.</w:t>
      </w:r>
    </w:p>
    <w:p>
      <w:pPr>
        <w:pStyle w:val="FirstParagraph"/>
      </w:pPr>
      <w:r>
        <w:t xml:space="preserve">As a</w:t>
      </w:r>
      <w:r>
        <w:t xml:space="preserve"> </w:t>
      </w:r>
      <w:r>
        <w:rPr>
          <w:bCs/>
          <w:b/>
        </w:rPr>
        <w:t xml:space="preserve">Mathematician</w:t>
      </w:r>
      <w:r>
        <w:t xml:space="preserve">, I will ensure all outputs are accessible to non-specialists through interactive dashboards hosted by the Birmingham Data Portal—democratizing mathematical innovation for civic engagement.</w:t>
      </w:r>
    </w:p>
    <w:bookmarkEnd w:id="24"/>
    <w:bookmarkStart w:id="25"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Funding Required (£)</w:t>
            </w:r>
          </w:p>
        </w:tc>
      </w:tr>
      <w:tr>
        <w:tc>
          <w:tcPr/>
          <w:p>
            <w:pPr>
              <w:pStyle w:val="Compact"/>
              <w:jc w:val="left"/>
            </w:pPr>
            <w:r>
              <w:t xml:space="preserve">Data Integration</w:t>
            </w:r>
          </w:p>
        </w:tc>
        <w:tc>
          <w:tcPr/>
          <w:p>
            <w:pPr>
              <w:pStyle w:val="Compact"/>
              <w:jc w:val="left"/>
            </w:pPr>
            <w:r>
              <w:t xml:space="preserve">6 months</w:t>
            </w:r>
          </w:p>
        </w:tc>
        <w:tc>
          <w:tcPr/>
          <w:p>
            <w:pPr>
              <w:pStyle w:val="Compact"/>
              <w:jc w:val="left"/>
            </w:pPr>
            <w:r>
              <w:t xml:space="preserve">Anonymized urban data repository; Ethics approval</w:t>
            </w:r>
          </w:p>
        </w:tc>
        <w:tc>
          <w:tcPr/>
          <w:p>
            <w:pPr>
              <w:pStyle w:val="Compact"/>
              <w:jc w:val="left"/>
            </w:pPr>
            <w:r>
              <w:t xml:space="preserve">120,000</w:t>
            </w:r>
          </w:p>
        </w:tc>
      </w:tr>
      <w:tr>
        <w:tc>
          <w:tcPr/>
          <w:p>
            <w:pPr>
              <w:pStyle w:val="Compact"/>
              <w:jc w:val="left"/>
            </w:pPr>
            <w:r>
              <w:t xml:space="preserve">Model Development</w:t>
            </w:r>
          </w:p>
        </w:tc>
        <w:tc>
          <w:tcPr/>
          <w:p>
            <w:pPr>
              <w:pStyle w:val="Compact"/>
              <w:jc w:val="left"/>
            </w:pPr>
            <w:r>
              <w:t xml:space="preserve">18 months</w:t>
            </w:r>
          </w:p>
        </w:tc>
        <w:tc>
          <w:tcPr/>
          <w:p>
            <w:pPr>
              <w:pStyle w:val="Compact"/>
              <w:jc w:val="left"/>
            </w:pPr>
            <w:r>
              <w:t xml:space="preserve">3 core algorithms; Validation reports</w:t>
            </w:r>
          </w:p>
        </w:tc>
        <w:tc>
          <w:tcPr/>
          <w:p>
            <w:pPr>
              <w:pStyle w:val="Compact"/>
              <w:jc w:val="left"/>
            </w:pPr>
            <w:r>
              <w:t xml:space="preserve">450,000</w:t>
            </w:r>
          </w:p>
        </w:tc>
      </w:tr>
      <w:tr>
        <w:tc>
          <w:tcPr/>
          <w:p>
            <w:pPr>
              <w:pStyle w:val="Compact"/>
              <w:jc w:val="left"/>
            </w:pPr>
            <w:r>
              <w:t xml:space="preserve">Pilot Implementation</w:t>
            </w:r>
          </w:p>
        </w:tc>
        <w:tc>
          <w:tcPr/>
          <w:p>
            <w:pPr>
              <w:pStyle w:val="Compact"/>
              <w:jc w:val="left"/>
            </w:pPr>
            <w:r>
              <w:t xml:space="preserve">12 months</w:t>
            </w:r>
          </w:p>
        </w:tc>
        <w:tc>
          <w:tcPr/>
          <w:p>
            <w:pPr>
              <w:pStyle w:val="Compact"/>
              <w:jc w:val="left"/>
            </w:pPr>
            <w:r>
              <w:t xml:space="preserve">Civic feedback reports; Policy briefings</w:t>
            </w:r>
          </w:p>
        </w:tc>
        <w:tc>
          <w:tcPr/>
          <w:p>
            <w:pPr>
              <w:pStyle w:val="Compact"/>
              <w:jc w:val="left"/>
            </w:pPr>
            <w:r>
              <w:t xml:space="preserve">230,000</w:t>
            </w:r>
          </w:p>
        </w:tc>
      </w:tr>
      <w:tr>
        <w:tc>
          <w:tcPr/>
          <w:p>
            <w:pPr>
              <w:pStyle w:val="Compact"/>
              <w:jc w:val="left"/>
            </w:pPr>
            <w:r>
              <w:rPr>
                <w:bCs/>
                <w:b/>
              </w:rPr>
              <w:t xml:space="preserve">Total</w:t>
            </w:r>
          </w:p>
        </w:tc>
        <w:tc>
          <w:tcPr/>
          <w:p>
            <w:pPr>
              <w:pStyle w:val="Compact"/>
              <w:jc w:val="left"/>
            </w:pPr>
            <w:r>
              <w:rPr>
                <w:bCs/>
                <w:b/>
              </w:rPr>
              <w:t xml:space="preserve">36 months</w:t>
            </w:r>
          </w:p>
        </w:tc>
        <w:tc>
          <w:tcPr/>
          <w:p>
            <w:pPr>
              <w:pStyle w:val="Compact"/>
              <w:jc w:val="left"/>
            </w:pPr>
            <w:r>
              <w:rPr>
                <w:bCs/>
                <w:b/>
              </w:rPr>
              <w:t xml:space="preserve">All deliverables above</w:t>
            </w:r>
          </w:p>
        </w:tc>
        <w:tc>
          <w:tcPr/>
          <w:p>
            <w:pPr>
              <w:pStyle w:val="Compact"/>
              <w:jc w:val="left"/>
            </w:pPr>
            <w:r>
              <w:rPr>
                <w:bCs/>
                <w:b/>
              </w:rPr>
              <w:t xml:space="preserve">800,000</w:t>
            </w:r>
          </w:p>
        </w:tc>
      </w:tr>
    </w:tbl>
    <w:bookmarkEnd w:id="25"/>
    <w:bookmarkStart w:id="26" w:name="X59c5efc9d70252ed216f963e12d42e0d576f0fa"/>
    <w:p>
      <w:pPr>
        <w:pStyle w:val="Heading2"/>
      </w:pPr>
      <w:r>
        <w:t xml:space="preserve">Conclusion: Birmingham as the UK’s Mathematical Nexus</w:t>
      </w:r>
    </w:p>
    <w:p>
      <w:pPr>
        <w:pStyle w:val="FirstParagraph"/>
      </w:pPr>
      <w:r>
        <w:t xml:space="preserve">This Research Proposal establishes a definitive pathway to elevate Birmingham’s status as a leading center for mathematical innovation within the United Kingdom. By embedding advanced mathematics in civic decision-making, we transcend theoretical abstraction to solve tangible urban challenges—proving that mathematical excellence is intrinsically linked to societal progress. As a</w:t>
      </w:r>
      <w:r>
        <w:t xml:space="preserve"> </w:t>
      </w:r>
      <w:r>
        <w:rPr>
          <w:bCs/>
          <w:b/>
        </w:rPr>
        <w:t xml:space="preserve">Mathematician</w:t>
      </w:r>
      <w:r>
        <w:t xml:space="preserve"> </w:t>
      </w:r>
      <w:r>
        <w:t xml:space="preserve">committed to applied problem-solving, I am uniquely positioned to bridge academia and city governance through this initiative. The proposed work aligns with the UK’s Industrial Strategy (2023) and Birmingham’s ambition as a "City of Culture," offering measurable returns for residents, businesses, and the nation.</w:t>
      </w:r>
    </w:p>
    <w:p>
      <w:pPr>
        <w:pStyle w:val="BodyText"/>
      </w:pPr>
      <w:r>
        <w:t xml:space="preserve">Investing in this project will catalyze Birmingham’s emergence as the UK's premier hub for mathematical civic innovation—a legacy that will resonate globally. I seek funding to establish the "Birmingham Urban Mathematics Institute" at the University of Birmingham, creating a sustainable model for future research that transforms how cities worldwide engage with mathematics. In doing so, we affirm that in</w:t>
      </w:r>
      <w:r>
        <w:t xml:space="preserve"> </w:t>
      </w:r>
      <w:r>
        <w:rPr>
          <w:bCs/>
          <w:b/>
        </w:rPr>
        <w:t xml:space="preserve">United Kingdom Birmingham</w:t>
      </w:r>
      <w:r>
        <w:t xml:space="preserve">, mathematics is not merely studied—it is actively woven into the fabric of urban life.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United Kingdom Birmingham</dc:title>
  <dc:creator/>
  <dc:language>en</dc:language>
  <cp:keywords/>
  <dcterms:created xsi:type="dcterms:W3CDTF">2025-12-11T06:24:19Z</dcterms:created>
  <dcterms:modified xsi:type="dcterms:W3CDTF">2025-12-11T06:24:19Z</dcterms:modified>
</cp:coreProperties>
</file>

<file path=docProps/custom.xml><?xml version="1.0" encoding="utf-8"?>
<Properties xmlns="http://schemas.openxmlformats.org/officeDocument/2006/custom-properties" xmlns:vt="http://schemas.openxmlformats.org/officeDocument/2006/docPropsVTypes"/>
</file>