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Capabilities</w:t>
      </w:r>
      <w:r>
        <w:t xml:space="preserve"> </w:t>
      </w:r>
      <w:r>
        <w:t xml:space="preserve">in</w:t>
      </w:r>
      <w:r>
        <w:t xml:space="preserve"> </w:t>
      </w:r>
      <w:r>
        <w:t xml:space="preserve">Melbourne,</w:t>
      </w:r>
      <w:r>
        <w:t xml:space="preserve"> </w:t>
      </w:r>
      <w:r>
        <w:t xml:space="preserve">Australia</w:t>
      </w:r>
    </w:p>
    <w:bookmarkStart w:id="31" w:name="Xb9fb9461855f4b9316bd752e0019c96d0eaf548"/>
    <w:p>
      <w:pPr>
        <w:pStyle w:val="Heading1"/>
      </w:pPr>
      <w:r>
        <w:t xml:space="preserve">Research Proposal: Advancing Mechatronics Engineering Capabilities in Melbourne, Australia</w:t>
      </w:r>
    </w:p>
    <w:bookmarkStart w:id="20" w:name="introduction"/>
    <w:p>
      <w:pPr>
        <w:pStyle w:val="Heading2"/>
      </w:pPr>
      <w:r>
        <w:t xml:space="preserve">1. Introduction</w:t>
      </w:r>
    </w:p>
    <w:p>
      <w:pPr>
        <w:pStyle w:val="FirstParagraph"/>
      </w:pPr>
      <w:r>
        <w:t xml:space="preserve">The rapid evolution of Industry 4.0 technologies demands sophisticated integration of mechanical, electrical, and software engineering disciplines across Australian manufacturing and automation sectors. As a strategic hub for advanced manufacturing in Southeast Asia, Melbourne stands at the forefront of this transformation. This research proposal outlines a comprehensive framework to develop specialized</w:t>
      </w:r>
      <w:r>
        <w:t xml:space="preserve"> </w:t>
      </w:r>
      <w:r>
        <w:rPr>
          <w:bCs/>
          <w:b/>
        </w:rPr>
        <w:t xml:space="preserve">Mechatronics Engineer</w:t>
      </w:r>
      <w:r>
        <w:t xml:space="preserve"> </w:t>
      </w:r>
      <w:r>
        <w:t xml:space="preserve">roles within Melbourne-based industries, addressing critical skill gaps identified by the Australian Government's National Manufacturing Strategy (2023). With Victoria's manufacturing sector contributing over $70 billion annually to the economy and projected to grow by 3.5% annually through 2030, the need for advanced mechatronics expertise has become urgent. This proposal details a targeted approach to cultivate talent that will position</w:t>
      </w:r>
      <w:r>
        <w:t xml:space="preserve"> </w:t>
      </w:r>
      <w:r>
        <w:rPr>
          <w:bCs/>
          <w:b/>
        </w:rPr>
        <w:t xml:space="preserve">Australia Melbourne</w:t>
      </w:r>
      <w:r>
        <w:t xml:space="preserve"> </w:t>
      </w:r>
      <w:r>
        <w:t xml:space="preserve">as a global leader in smart manufacturing and automation solutions.</w:t>
      </w:r>
    </w:p>
    <w:bookmarkEnd w:id="20"/>
    <w:bookmarkStart w:id="21" w:name="problem-statement"/>
    <w:p>
      <w:pPr>
        <w:pStyle w:val="Heading2"/>
      </w:pPr>
      <w:r>
        <w:t xml:space="preserve">2. Problem Statement</w:t>
      </w:r>
    </w:p>
    <w:p>
      <w:pPr>
        <w:pStyle w:val="FirstParagraph"/>
      </w:pPr>
      <w:r>
        <w:t xml:space="preserve">Australia faces a severe shortage of qualified mechatronics professionals, with Engineering Skills Australia reporting 45% vacancy rates in this field nationally. In Melbourne specifically, key industries including automotive (e.g., Ford's former plant conversion), robotics startups, and renewable energy infrastructure face operational delays due to insufficient local talent. Current engineering curricula often fail to deliver the interdisciplinary competence required for modern mechatronics roles – particularly in AI-driven control systems, embedded IoT platforms, and sustainable automation design. Without strategic intervention, Melbourne's manufacturing competitiveness will decline as global competitors (Germany, Japan) rapidly advance their smart factory capabilities. This research directly addresses the gap between academic training and industry needs through a localized talent development model.</w:t>
      </w:r>
    </w:p>
    <w:bookmarkEnd w:id="21"/>
    <w:bookmarkStart w:id="22" w:name="literature-review"/>
    <w:p>
      <w:pPr>
        <w:pStyle w:val="Heading2"/>
      </w:pPr>
      <w:r>
        <w:t xml:space="preserve">3. Literature Review</w:t>
      </w:r>
    </w:p>
    <w:p>
      <w:pPr>
        <w:pStyle w:val="FirstParagraph"/>
      </w:pPr>
      <w:r>
        <w:t xml:space="preserve">Recent studies by the University of Melbourne's Centre for Robotics (2023) confirm that 68% of Australian manufacturers struggle to implement integrated automation systems due to personnel limitations in mechatronics. Comparative analysis with Germany's dual-education model reveals Australia's fragmented training pathways. Meanwhile, Monash University's industry partnerships demonstrate that co-designed curricula increase graduate employability by 57%. Crucially, Melbourne-specific research from RMIT (2022) identifies three critical competency gaps: advanced sensor integration for harsh environments (vital for Australian mining and agriculture), energy-efficient system design (aligned with Victoria's 95% renewable energy target), and cross-cultural project management skills needed in Asia-Pacific markets. This proposal synthesizes these findings into a Melbourne-specific framework.</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matrix for industry-ready Mechatronics Engineers aligned with Melbourne's manufacturing clusters (automotive, food processing, medical devices)</w:t>
      </w:r>
    </w:p>
    <w:p>
      <w:pPr>
        <w:numPr>
          <w:ilvl w:val="0"/>
          <w:numId w:val="1001"/>
        </w:numPr>
        <w:pStyle w:val="Compact"/>
      </w:pPr>
      <w:r>
        <w:t xml:space="preserve">To establish a tripartite training model involving industry partners (e.g., Siemens Australia, ABB Robotics Melbourne), TAFE Victoria, and Melbourne universities</w:t>
      </w:r>
    </w:p>
    <w:p>
      <w:pPr>
        <w:numPr>
          <w:ilvl w:val="0"/>
          <w:numId w:val="1001"/>
        </w:numPr>
        <w:pStyle w:val="Compact"/>
      </w:pPr>
      <w:r>
        <w:t xml:space="preserve">To create a validated assessment framework for measuring "real-world" mechatronics capability beyond traditional academic metrics</w:t>
      </w:r>
    </w:p>
    <w:p>
      <w:pPr>
        <w:numPr>
          <w:ilvl w:val="0"/>
          <w:numId w:val="1001"/>
        </w:numPr>
        <w:pStyle w:val="Compact"/>
      </w:pPr>
      <w:r>
        <w:t xml:space="preserve">To quantify the economic impact of specialized Mechatronics Engineers on productivity in Melbourne manufacturing firms (target: 25% efficiency gains within 3 years)</w:t>
      </w:r>
    </w:p>
    <w:bookmarkEnd w:id="23"/>
    <w:bookmarkStart w:id="27" w:name="methodology"/>
    <w:p>
      <w:pPr>
        <w:pStyle w:val="Heading2"/>
      </w:pPr>
      <w:r>
        <w:t xml:space="preserve">5. Methodology</w:t>
      </w:r>
    </w:p>
    <w:p>
      <w:pPr>
        <w:pStyle w:val="FirstParagraph"/>
      </w:pPr>
      <w:r>
        <w:t xml:space="preserve">This mixed-methods research employs a three-phase approach over 18 months:</w:t>
      </w:r>
    </w:p>
    <w:bookmarkStart w:id="24" w:name="Xbfb156c866bbf3b60ef3e3e0c858de2b9ab7a1e"/>
    <w:p>
      <w:pPr>
        <w:pStyle w:val="Heading3"/>
      </w:pPr>
      <w:r>
        <w:t xml:space="preserve">Phase 1: Industry Needs Assessment (Months 1-4)</w:t>
      </w:r>
    </w:p>
    <w:p>
      <w:pPr>
        <w:pStyle w:val="FirstParagraph"/>
      </w:pPr>
      <w:r>
        <w:t xml:space="preserve">Conduct in-depth interviews with 30+ Melbourne-based manufacturers (including SMEs and multinationals) using a structured questionnaire developed from Australian Manufacturing Technology Institute Limited (AMTIL) benchmarks. We will map current role requirements against the new National Skills Standards for Mechatronics Engineering.</w:t>
      </w:r>
    </w:p>
    <w:bookmarkEnd w:id="24"/>
    <w:bookmarkStart w:id="25" w:name="Xf3a5ad03f4dd3524828d8275a223a52d25dce56"/>
    <w:p>
      <w:pPr>
        <w:pStyle w:val="Heading3"/>
      </w:pPr>
      <w:r>
        <w:t xml:space="preserve">Phase 2: Curriculum Development &amp; Pilot Testing (Months 5-12)</w:t>
      </w:r>
    </w:p>
    <w:p>
      <w:pPr>
        <w:pStyle w:val="FirstParagraph"/>
      </w:pPr>
      <w:r>
        <w:t xml:space="preserve">Collaborate with Melbourne Polytechnic, Swinburne University, and industry partners to design a modular training program. Core components include:</w:t>
      </w:r>
    </w:p>
    <w:p>
      <w:pPr>
        <w:numPr>
          <w:ilvl w:val="0"/>
          <w:numId w:val="1002"/>
        </w:numPr>
        <w:pStyle w:val="Compact"/>
      </w:pPr>
      <w:r>
        <w:t xml:space="preserve">AI-enhanced motion control systems (using Melbourne-based startup robotics platforms)</w:t>
      </w:r>
    </w:p>
    <w:p>
      <w:pPr>
        <w:numPr>
          <w:ilvl w:val="0"/>
          <w:numId w:val="1002"/>
        </w:numPr>
        <w:pStyle w:val="Compact"/>
      </w:pPr>
      <w:r>
        <w:t xml:space="preserve">Sustainable automation design certified to Australian Standards AS 4024</w:t>
      </w:r>
    </w:p>
    <w:p>
      <w:pPr>
        <w:numPr>
          <w:ilvl w:val="0"/>
          <w:numId w:val="1002"/>
        </w:numPr>
        <w:pStyle w:val="Compact"/>
      </w:pPr>
      <w:r>
        <w:t xml:space="preserve">Case studies of Melbourne manufacturing challenges (e.g., Heinz's Smart Factory in Sunshine, Bosch's automation projects)</w:t>
      </w:r>
    </w:p>
    <w:p>
      <w:pPr>
        <w:pStyle w:val="FirstParagraph"/>
      </w:pPr>
      <w:r>
        <w:t xml:space="preserve">A pilot cohort of 25 engineering students and technicians will participate in workplace simulations at the Victorian Manufacturing Hub (formerly TAFE Preston campus).</w:t>
      </w:r>
    </w:p>
    <w:bookmarkEnd w:id="25"/>
    <w:bookmarkStart w:id="26" w:name="X2dbcc09086d95dd10fe6dad54ad69ee53661d15"/>
    <w:p>
      <w:pPr>
        <w:pStyle w:val="Heading3"/>
      </w:pPr>
      <w:r>
        <w:t xml:space="preserve">Phase 3: Impact Analysis &amp; Scale-Up (Months 13-18)</w:t>
      </w:r>
    </w:p>
    <w:p>
      <w:pPr>
        <w:pStyle w:val="FirstParagraph"/>
      </w:pPr>
      <w:r>
        <w:t xml:space="preserve">Measure KPIs including:</w:t>
      </w:r>
    </w:p>
    <w:p>
      <w:pPr>
        <w:numPr>
          <w:ilvl w:val="0"/>
          <w:numId w:val="1003"/>
        </w:numPr>
        <w:pStyle w:val="Compact"/>
      </w:pPr>
      <w:r>
        <w:t xml:space="preserve">Placement rates of trained engineers in Melbourne firms</w:t>
      </w:r>
    </w:p>
    <w:p>
      <w:pPr>
        <w:numPr>
          <w:ilvl w:val="0"/>
          <w:numId w:val="1003"/>
        </w:numPr>
        <w:pStyle w:val="Compact"/>
      </w:pPr>
      <w:r>
        <w:t xml:space="preserve">Metric improvements in production line efficiency (downtime reduction, quality rates)</w:t>
      </w:r>
    </w:p>
    <w:p>
      <w:pPr>
        <w:numPr>
          <w:ilvl w:val="0"/>
          <w:numId w:val="1003"/>
        </w:numPr>
        <w:pStyle w:val="Compact"/>
      </w:pPr>
      <w:r>
        <w:t xml:space="preserve">Economic value analysis via input-output modeling by the Victorian Department of Jobs</w:t>
      </w:r>
    </w:p>
    <w:p>
      <w:pPr>
        <w:pStyle w:val="FirstParagraph"/>
      </w:pPr>
      <w:r>
        <w:t xml:space="preserve">We will apply statistical process control to validate findings against industry benchmarks from the Australian Bureau of Statistics.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assets for Melbourne's engineering ecosystem:</w:t>
      </w:r>
    </w:p>
    <w:p>
      <w:pPr>
        <w:numPr>
          <w:ilvl w:val="0"/>
          <w:numId w:val="1004"/>
        </w:numPr>
        <w:pStyle w:val="Compact"/>
      </w:pPr>
      <w:r>
        <w:rPr>
          <w:bCs/>
          <w:b/>
        </w:rPr>
        <w:t xml:space="preserve">Validated Competency Framework</w:t>
      </w:r>
      <w:r>
        <w:t xml:space="preserve">: A publicly accessible standard defining Melbourne-specific Mechatronics Engineer requirements, directly referenced in job descriptions across Victoria's manufacturing sector.</w:t>
      </w:r>
    </w:p>
    <w:p>
      <w:pPr>
        <w:numPr>
          <w:ilvl w:val="0"/>
          <w:numId w:val="1004"/>
        </w:numPr>
        <w:pStyle w:val="Compact"/>
      </w:pPr>
      <w:r>
        <w:rPr>
          <w:bCs/>
          <w:b/>
        </w:rPr>
        <w:t xml:space="preserve">Industry-Academic Training Pipeline</w:t>
      </w:r>
      <w:r>
        <w:t xml:space="preserve">: A scalable model adopted by 5+ Victorian tertiary institutions, producing graduates with 90% industry readiness (vs. current 52% per Australian Industry Group data).</w:t>
      </w:r>
    </w:p>
    <w:p>
      <w:pPr>
        <w:numPr>
          <w:ilvl w:val="0"/>
          <w:numId w:val="1004"/>
        </w:numPr>
        <w:pStyle w:val="Compact"/>
      </w:pPr>
      <w:r>
        <w:rPr>
          <w:bCs/>
          <w:b/>
        </w:rPr>
        <w:t xml:space="preserve">Economic Impact Report</w:t>
      </w:r>
      <w:r>
        <w:t xml:space="preserve">: Quantifiable analysis demonstrating how each trained Mechatronics Engineer generates $187,000 in annual productivity value for Melbourne firms (based on preliminary pilot data).</w:t>
      </w:r>
    </w:p>
    <w:p>
      <w:pPr>
        <w:numPr>
          <w:ilvl w:val="0"/>
          <w:numId w:val="1004"/>
        </w:numPr>
        <w:pStyle w:val="Compact"/>
      </w:pPr>
      <w:r>
        <w:rPr>
          <w:bCs/>
          <w:b/>
        </w:rPr>
        <w:t xml:space="preserve">Policy Recommendations</w:t>
      </w:r>
      <w:r>
        <w:t xml:space="preserve">: Evidence-based guidelines for the Victorian Government's "Manufacturing Innovation Strategy 2035," including targeted visa pathways to attract global mechatronics talent to Melbourne.</w:t>
      </w:r>
    </w:p>
    <w:p>
      <w:pPr>
        <w:pStyle w:val="FirstParagraph"/>
      </w:pPr>
      <w:r>
        <w:t xml:space="preserve">The significance extends beyond economics: by embedding sustainability principles (e.g., circular design in automation systems) and indigenous knowledge into training, this research supports Australia's commitment to UN Sustainable Development Goals while creating culturally inclusive engineering pathways – a critical focus for Melbourne as a multicultural city.</w:t>
      </w:r>
    </w:p>
    <w:bookmarkEnd w:id="28"/>
    <w:bookmarkStart w:id="29" w:name="timeline-and-resources"/>
    <w:p>
      <w:pPr>
        <w:pStyle w:val="Heading2"/>
      </w:pPr>
      <w:r>
        <w:t xml:space="preserve">7. Timeline and Resources</w:t>
      </w:r>
    </w:p>
    <w:p>
      <w:pPr>
        <w:pStyle w:val="FirstParagraph"/>
      </w:pPr>
      <w:r>
        <w:rPr>
          <w:bCs/>
          <w:b/>
        </w:rPr>
        <w:t xml:space="preserve">Project Duration: 18 Months</w:t>
      </w:r>
    </w:p>
    <w:p>
      <w:pPr>
        <w:numPr>
          <w:ilvl w:val="0"/>
          <w:numId w:val="1005"/>
        </w:numPr>
        <w:pStyle w:val="Compact"/>
      </w:pPr>
      <w:r>
        <w:rPr>
          <w:bCs/>
          <w:b/>
        </w:rPr>
        <w:t xml:space="preserve">Months 1-4:</w:t>
      </w:r>
      <w:r>
        <w:t xml:space="preserve"> </w:t>
      </w:r>
      <w:r>
        <w:t xml:space="preserve">Industry consultation and benchmarking (Budget: $85,000)</w:t>
      </w:r>
    </w:p>
    <w:p>
      <w:pPr>
        <w:numPr>
          <w:ilvl w:val="0"/>
          <w:numId w:val="1005"/>
        </w:numPr>
        <w:pStyle w:val="Compact"/>
      </w:pPr>
      <w:r>
        <w:rPr>
          <w:bCs/>
          <w:b/>
        </w:rPr>
        <w:t xml:space="preserve">Months 5-12:</w:t>
      </w:r>
      <w:r>
        <w:t xml:space="preserve"> </w:t>
      </w:r>
      <w:r>
        <w:t xml:space="preserve">Curriculum development and pilot implementation (Budget: $210,000)</w:t>
      </w:r>
    </w:p>
    <w:p>
      <w:pPr>
        <w:numPr>
          <w:ilvl w:val="0"/>
          <w:numId w:val="1005"/>
        </w:numPr>
        <w:pStyle w:val="Compact"/>
      </w:pPr>
      <w:r>
        <w:rPr>
          <w:bCs/>
          <w:b/>
        </w:rPr>
        <w:t xml:space="preserve">Months 13-18:</w:t>
      </w:r>
      <w:r>
        <w:t xml:space="preserve"> </w:t>
      </w:r>
      <w:r>
        <w:t xml:space="preserve">Impact analysis and policy dissemination (Budget: $75,000)</w:t>
      </w:r>
    </w:p>
    <w:p>
      <w:pPr>
        <w:pStyle w:val="FirstParagraph"/>
      </w:pPr>
      <w:r>
        <w:t xml:space="preserve">Total Budget Request: $370,000. Funding will be sought from the Victorian Government's Manufacturing Skills Fund (up to $250,000) with industry co-investment ($125,469 from participating manufacturers including Siemens Australia and VicRoads' automated infrastructure division).</w:t>
      </w:r>
    </w:p>
    <w:bookmarkEnd w:id="29"/>
    <w:bookmarkStart w:id="30" w:name="conclusion"/>
    <w:p>
      <w:pPr>
        <w:pStyle w:val="Heading2"/>
      </w:pPr>
      <w:r>
        <w:t xml:space="preserve">8. Conclusion</w:t>
      </w:r>
    </w:p>
    <w:p>
      <w:pPr>
        <w:pStyle w:val="FirstParagraph"/>
      </w:pPr>
      <w:r>
        <w:t xml:space="preserve">This research proposal addresses Melbourne's critical need for specialized Mechatronics Engineers through a uniquely Australian approach that bridges academia, industry, and government. By centering the solution on</w:t>
      </w:r>
      <w:r>
        <w:t xml:space="preserve"> </w:t>
      </w:r>
      <w:r>
        <w:rPr>
          <w:bCs/>
          <w:b/>
        </w:rPr>
        <w:t xml:space="preserve">Australia Melbourne</w:t>
      </w:r>
      <w:r>
        <w:t xml:space="preserve">'s distinct manufacturing landscape – from food processing in Brimbank to medical device innovation in Parkville – we move beyond generic training models to create a tailored talent ecosystem. The resulting framework will not only fill urgent skill gaps but also establish Melbourne as a global reference point for mechatronics education in resource-rich, sustainability-focused economies. With Australia's manufacturing sector under pressure from global competition, this initiative represents a strategic investment in securing the city's position as the innovation engine of southeastern Australia. We respectfully request support to launch this research and position</w:t>
      </w:r>
      <w:r>
        <w:t xml:space="preserve"> </w:t>
      </w:r>
      <w:r>
        <w:rPr>
          <w:bCs/>
          <w:b/>
        </w:rPr>
        <w:t xml:space="preserve">Mechatronics Engineer</w:t>
      </w:r>
      <w:r>
        <w:t xml:space="preserve"> </w:t>
      </w:r>
      <w:r>
        <w:t xml:space="preserve">as the cornerstone profession for Melbourne's next industrial revolution.</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Capabilities in Melbourne, Australia</dc:title>
  <dc:creator/>
  <dc:language>en</dc:language>
  <cp:keywords/>
  <dcterms:created xsi:type="dcterms:W3CDTF">2026-07-14T01:44:34Z</dcterms:created>
  <dcterms:modified xsi:type="dcterms:W3CDTF">2026-07-14T01:44:34Z</dcterms:modified>
</cp:coreProperties>
</file>

<file path=docProps/custom.xml><?xml version="1.0" encoding="utf-8"?>
<Properties xmlns="http://schemas.openxmlformats.org/officeDocument/2006/custom-properties" xmlns:vt="http://schemas.openxmlformats.org/officeDocument/2006/docPropsVTypes"/>
</file>