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9" w:name="Xbc4c552506c0fce91ae61afef13e5667be79b43"/>
    <w:p>
      <w:pPr>
        <w:pStyle w:val="Heading1"/>
      </w:pPr>
      <w:r>
        <w:t xml:space="preserve">Research Proposal: Development of Sustainable Mechatronics Engineering Solutions for Industrial Modernization in Egypt Alexandria</w:t>
      </w:r>
    </w:p>
    <w:bookmarkStart w:id="20" w:name="introduction"/>
    <w:p>
      <w:pPr>
        <w:pStyle w:val="Heading2"/>
      </w:pPr>
      <w:r>
        <w:t xml:space="preserve">1. Introduction</w:t>
      </w:r>
    </w:p>
    <w:p>
      <w:pPr>
        <w:pStyle w:val="FirstParagraph"/>
      </w:pPr>
      <w:r>
        <w:t xml:space="preserve">The rapid industrial transformation occurring across Egypt necessitates advanced technical expertise to drive sustainable growth and economic competitiveness. As a coastal metropolis with significant manufacturing potential, Alexandria stands at the forefront of this industrial evolution. This</w:t>
      </w:r>
      <w:r>
        <w:t xml:space="preserve"> </w:t>
      </w:r>
      <w:r>
        <w:rPr>
          <w:bCs/>
          <w:b/>
        </w:rPr>
        <w:t xml:space="preserve">Research Proposal</w:t>
      </w:r>
      <w:r>
        <w:t xml:space="preserve"> </w:t>
      </w:r>
      <w:r>
        <w:t xml:space="preserve">focuses on establishing a specialized framework for training and deploying the next generation of</w:t>
      </w:r>
      <w:r>
        <w:t xml:space="preserve"> </w:t>
      </w:r>
      <w:r>
        <w:rPr>
          <w:bCs/>
          <w:b/>
        </w:rPr>
        <w:t xml:space="preserve">Mechatronics Engineer</w:t>
      </w:r>
      <w:r>
        <w:t xml:space="preserve"> </w:t>
      </w:r>
      <w:r>
        <w:t xml:space="preserve">professionals uniquely equipped to address Egypt's industrial challenges within the Alexandria context. Mechatronics – the synergistic integration of mechanical engineering, electronics, computer science, and control systems – represents a critical enabler for smart manufacturing, automation, and sustainable production systems that are essential for Egypt's Vision 2030 goals.</w:t>
      </w:r>
    </w:p>
    <w:bookmarkEnd w:id="20"/>
    <w:bookmarkStart w:id="21" w:name="problem-statement"/>
    <w:p>
      <w:pPr>
        <w:pStyle w:val="Heading2"/>
      </w:pPr>
      <w:r>
        <w:t xml:space="preserve">2. Problem Statement</w:t>
      </w:r>
    </w:p>
    <w:p>
      <w:pPr>
        <w:pStyle w:val="FirstParagraph"/>
      </w:pPr>
      <w:r>
        <w:t xml:space="preserve">Egypt Alexandria faces a significant skills gap in advanced automation technologies. While the city hosts major industrial zones (e.g., Borg El Arab, Sidi Kerir) and maritime infrastructure, local industries struggle with outdated machinery, high operational costs, and limited adoption of Industry 4.0 solutions. Current engineering education in Alexandria universities produces graduates lacking practical mechatronics competencies required for modern factory environments. This gap impedes Egypt's ability to attract high-value manufacturing investments, optimize resource use (particularly energy and water), and develop indigenous technological capabilities. Without a targeted</w:t>
      </w:r>
      <w:r>
        <w:t xml:space="preserve"> </w:t>
      </w:r>
      <w:r>
        <w:rPr>
          <w:bCs/>
          <w:b/>
        </w:rPr>
        <w:t xml:space="preserve">Mechatronics Engineer</w:t>
      </w:r>
      <w:r>
        <w:t xml:space="preserve"> </w:t>
      </w:r>
      <w:r>
        <w:t xml:space="preserve">pipeline specifically oriented toward Alexandria's industrial ecosystem, the region risks falling behind in the global competitiveness race.</w:t>
      </w:r>
    </w:p>
    <w:bookmarkEnd w:id="21"/>
    <w:bookmarkStart w:id="22" w:name="research-objectives"/>
    <w:p>
      <w:pPr>
        <w:pStyle w:val="Heading2"/>
      </w:pPr>
      <w:r>
        <w:t xml:space="preserve">3. Research Objectives</w:t>
      </w:r>
    </w:p>
    <w:p>
      <w:pPr>
        <w:numPr>
          <w:ilvl w:val="0"/>
          <w:numId w:val="1001"/>
        </w:numPr>
        <w:pStyle w:val="Compact"/>
      </w:pPr>
      <w:r>
        <w:t xml:space="preserve">To analyze Egypt Alexandria's specific industrial automation needs across key sectors (textiles, food processing, marine engineering, renewable energy).</w:t>
      </w:r>
    </w:p>
    <w:p>
      <w:pPr>
        <w:numPr>
          <w:ilvl w:val="0"/>
          <w:numId w:val="1001"/>
        </w:numPr>
        <w:pStyle w:val="Compact"/>
      </w:pPr>
      <w:r>
        <w:t xml:space="preserve">To design and validate a competency-based curriculum for Mechatronics Engineers tailored to Alexandria's industrial landscape.</w:t>
      </w:r>
    </w:p>
    <w:p>
      <w:pPr>
        <w:numPr>
          <w:ilvl w:val="0"/>
          <w:numId w:val="1001"/>
        </w:numPr>
        <w:pStyle w:val="Compact"/>
      </w:pPr>
      <w:r>
        <w:t xml:space="preserve">To establish an applied research lab at a leading Alexandria institution (e.g., Alexandria University) for prototyping sustainable mechatronic solutions.</w:t>
      </w:r>
    </w:p>
    <w:p>
      <w:pPr>
        <w:numPr>
          <w:ilvl w:val="0"/>
          <w:numId w:val="1001"/>
        </w:numPr>
        <w:pStyle w:val="Compact"/>
      </w:pPr>
      <w:r>
        <w:t xml:space="preserve">To develop industry partnerships ensuring graduates possess relevant skills and employability in local factories.</w:t>
      </w:r>
    </w:p>
    <w:p>
      <w:pPr>
        <w:numPr>
          <w:ilvl w:val="0"/>
          <w:numId w:val="1001"/>
        </w:numPr>
        <w:pStyle w:val="Compact"/>
      </w:pPr>
      <w:r>
        <w:t xml:space="preserve">To quantify the potential economic impact of deploying optimized mechatronics systems in targeted Alexandria industries.</w:t>
      </w:r>
    </w:p>
    <w:bookmarkEnd w:id="22"/>
    <w:bookmarkStart w:id="23" w:name="X3830ffec9d52f394953fc6af98ab4ce958fb430"/>
    <w:p>
      <w:pPr>
        <w:pStyle w:val="Heading2"/>
      </w:pPr>
      <w:r>
        <w:t xml:space="preserve">4. Literature Review (Contextualized for Egypt Alexandria)</w:t>
      </w:r>
    </w:p>
    <w:p>
      <w:pPr>
        <w:pStyle w:val="FirstParagraph"/>
      </w:pPr>
      <w:r>
        <w:t xml:space="preserve">Global studies (e.g., Siemens, 2021; IEEE, 2023) consistently link mechatronics proficiency to productivity gains of 15-30% in manufacturing. However, research specific to North Africa remains scarce. Studies on Egyptian engineering education (El-Sayed &amp; Ahmed, 2020) highlight a disconnect between university curricula and industrial needs, with only 28% of graduates deemed job-ready in advanced technical fields. Case studies from Morocco's Casablanca Tech Park demonstrate that localized mechatronics training directly increased factory automation adoption by 45% within three years. Crucially, this</w:t>
      </w:r>
      <w:r>
        <w:t xml:space="preserve"> </w:t>
      </w:r>
      <w:r>
        <w:rPr>
          <w:bCs/>
          <w:b/>
        </w:rPr>
        <w:t xml:space="preserve">Research Proposal</w:t>
      </w:r>
      <w:r>
        <w:t xml:space="preserve"> </w:t>
      </w:r>
      <w:r>
        <w:t xml:space="preserve">addresses a critical void: no comprehensive framework exists for training</w:t>
      </w:r>
      <w:r>
        <w:t xml:space="preserve"> </w:t>
      </w:r>
      <w:r>
        <w:rPr>
          <w:bCs/>
          <w:b/>
        </w:rPr>
        <w:t xml:space="preserve">Mechatronics Engineer</w:t>
      </w:r>
      <w:r>
        <w:t xml:space="preserve"> </w:t>
      </w:r>
      <w:r>
        <w:t xml:space="preserve">professionals specifically calibrated for the economic and infrastructural realities of Egypt Alexandria.</w:t>
      </w:r>
    </w:p>
    <w:bookmarkEnd w:id="23"/>
    <w:bookmarkStart w:id="24" w:name="methodology"/>
    <w:p>
      <w:pPr>
        <w:pStyle w:val="Heading2"/>
      </w:pPr>
      <w:r>
        <w:t xml:space="preserve">5. Methodology</w:t>
      </w:r>
    </w:p>
    <w:p>
      <w:pPr>
        <w:pStyle w:val="FirstParagraph"/>
      </w:pPr>
      <w:r>
        <w:t xml:space="preserve">This three-year research initiative employs a mixed-methods approach:</w:t>
      </w:r>
    </w:p>
    <w:p>
      <w:pPr>
        <w:numPr>
          <w:ilvl w:val="0"/>
          <w:numId w:val="1002"/>
        </w:numPr>
        <w:pStyle w:val="Compact"/>
      </w:pPr>
      <w:r>
        <w:rPr>
          <w:bCs/>
          <w:b/>
        </w:rPr>
        <w:t xml:space="preserve">Phase 1 (Months 1-6): Needs Assessment</w:t>
      </w:r>
      <w:r>
        <w:t xml:space="preserve"> </w:t>
      </w:r>
      <w:r>
        <w:t xml:space="preserve">– Conduct industry surveys across 50+ Alexandria factories, analyze import data for automation equipment, and interview local manufacturing leaders to map current pain points.</w:t>
      </w:r>
    </w:p>
    <w:p>
      <w:pPr>
        <w:numPr>
          <w:ilvl w:val="0"/>
          <w:numId w:val="1002"/>
        </w:numPr>
        <w:pStyle w:val="Compact"/>
      </w:pPr>
      <w:r>
        <w:rPr>
          <w:bCs/>
          <w:b/>
        </w:rPr>
        <w:t xml:space="preserve">Phase 2 (Months 7-18): Curriculum &amp; Lab Development</w:t>
      </w:r>
      <w:r>
        <w:t xml:space="preserve"> </w:t>
      </w:r>
      <w:r>
        <w:t xml:space="preserve">– Collaborate with Alexandria University's Engineering Faculty and industry partners (e.g., Suez Canal Economic Zone, Orascom Construction) to co-design a modular curriculum. Establish a mechatronics lab equipped with industrial-grade PLCs, robotics arms, and IoT sensors relevant to local applications (e.g., automated textile sorting systems, water treatment optimization).</w:t>
      </w:r>
    </w:p>
    <w:p>
      <w:pPr>
        <w:numPr>
          <w:ilvl w:val="0"/>
          <w:numId w:val="1002"/>
        </w:numPr>
        <w:pStyle w:val="Compact"/>
      </w:pPr>
      <w:r>
        <w:rPr>
          <w:bCs/>
          <w:b/>
        </w:rPr>
        <w:t xml:space="preserve">Phase 3 (Months 19-24): Implementation &amp; Validation</w:t>
      </w:r>
      <w:r>
        <w:t xml:space="preserve"> </w:t>
      </w:r>
      <w:r>
        <w:t xml:space="preserve">– Pilot the curriculum with a cohort of 30 students. Implement prototype mechatronic solutions in two partner factories, measuring KPIs like downtime reduction, energy savings, and production throughput.</w:t>
      </w:r>
    </w:p>
    <w:p>
      <w:pPr>
        <w:numPr>
          <w:ilvl w:val="0"/>
          <w:numId w:val="1002"/>
        </w:numPr>
        <w:pStyle w:val="Compact"/>
      </w:pPr>
      <w:r>
        <w:rPr>
          <w:bCs/>
          <w:b/>
        </w:rPr>
        <w:t xml:space="preserve">Data Analysis:</w:t>
      </w:r>
      <w:r>
        <w:t xml:space="preserve"> </w:t>
      </w:r>
      <w:r>
        <w:t xml:space="preserve">Use statistical tools (SPSS) to compare pre- and post-implementation factory metrics. Conduct graduate employability tracking for 2 years post-graduation.</w:t>
      </w:r>
    </w:p>
    <w:bookmarkEnd w:id="24"/>
    <w:bookmarkStart w:id="25" w:name="expected-outcomes-and-significance"/>
    <w:p>
      <w:pPr>
        <w:pStyle w:val="Heading2"/>
      </w:pPr>
      <w:r>
        <w:t xml:space="preserve">6. Expected Outcomes and Significance</w:t>
      </w:r>
    </w:p>
    <w:p>
      <w:pPr>
        <w:pStyle w:val="FirstParagraph"/>
      </w:pPr>
      <w:r>
        <w:t xml:space="preserve">This project will deliver:</w:t>
      </w:r>
    </w:p>
    <w:p>
      <w:pPr>
        <w:numPr>
          <w:ilvl w:val="0"/>
          <w:numId w:val="1003"/>
        </w:numPr>
        <w:pStyle w:val="Compact"/>
      </w:pPr>
      <w:r>
        <w:t xml:space="preserve">A validated, locally relevant curriculum model for producing job-ready Mechatronics Engineers in Egypt Alexandria.</w:t>
      </w:r>
    </w:p>
    <w:p>
      <w:pPr>
        <w:numPr>
          <w:ilvl w:val="0"/>
          <w:numId w:val="1003"/>
        </w:numPr>
        <w:pStyle w:val="Compact"/>
      </w:pPr>
      <w:r>
        <w:t xml:space="preserve">An operational mechatronics research lab serving as a hub for industry-academia collaboration.</w:t>
      </w:r>
    </w:p>
    <w:p>
      <w:pPr>
        <w:numPr>
          <w:ilvl w:val="0"/>
          <w:numId w:val="1003"/>
        </w:numPr>
        <w:pStyle w:val="Compact"/>
      </w:pPr>
      <w:r>
        <w:t xml:space="preserve">Proven case studies demonstrating 20-35% operational cost reduction through localized automation solutions in Alexandria's key industries.</w:t>
      </w:r>
    </w:p>
    <w:p>
      <w:pPr>
        <w:numPr>
          <w:ilvl w:val="0"/>
          <w:numId w:val="1003"/>
        </w:numPr>
        <w:pStyle w:val="Compact"/>
      </w:pPr>
      <w:r>
        <w:t xml:space="preserve">A skilled workforce pipeline addressing the urgent need for 1,200+ new Mechatronics Engineer roles in Alexandria by 2030 (per Ministry of Industry projections).</w:t>
      </w:r>
    </w:p>
    <w:p>
      <w:pPr>
        <w:numPr>
          <w:ilvl w:val="0"/>
          <w:numId w:val="1003"/>
        </w:numPr>
        <w:pStyle w:val="Compact"/>
      </w:pPr>
      <w:r>
        <w:t xml:space="preserve">Policy recommendations for Egypt's National Skills Strategy, emphasizing mechatronics as a priority sector.</w:t>
      </w:r>
    </w:p>
    <w:p>
      <w:pPr>
        <w:pStyle w:val="FirstParagraph"/>
      </w:pPr>
      <w:r>
        <w:t xml:space="preserve">The significance extends beyond economics: By embedding sustainability into automation design (e.g., energy-efficient systems), this work directly supports Egypt's climate commitments. For Alexandria specifically, it transforms the city from a passive recipient of industrial investment to an active innovator in advanced manufacturing – positioning it as a Mechatronics Hub for the Eastern Mediterranean.</w:t>
      </w:r>
    </w:p>
    <w:bookmarkEnd w:id="25"/>
    <w:bookmarkStart w:id="26" w:name="Xe11095aeb451a094d9728e2eb33eeba5e06c643"/>
    <w:p>
      <w:pPr>
        <w:pStyle w:val="Heading2"/>
      </w:pPr>
      <w:r>
        <w:t xml:space="preserve">7. Project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Needs Assessment &amp; Planning</w:t>
            </w:r>
          </w:p>
        </w:tc>
        <w:tc>
          <w:tcPr/>
          <w:p>
            <w:pPr>
              <w:pStyle w:val="Compact"/>
              <w:jc w:val="left"/>
            </w:pPr>
            <w:r>
              <w:t xml:space="preserve">Months 1-6</w:t>
            </w:r>
          </w:p>
        </w:tc>
        <w:tc>
          <w:tcPr/>
          <w:p>
            <w:pPr>
              <w:pStyle w:val="Compact"/>
              <w:jc w:val="left"/>
            </w:pPr>
            <w:r>
              <w:t xml:space="preserve">Sector-specific automation gap report; Industry partnership MOUs</w:t>
            </w:r>
          </w:p>
        </w:tc>
      </w:tr>
      <w:tr>
        <w:tc>
          <w:tcPr/>
          <w:p>
            <w:pPr>
              <w:pStyle w:val="Compact"/>
              <w:jc w:val="left"/>
            </w:pPr>
            <w:r>
              <w:t xml:space="preserve">Curriculum Development &amp; Lab Setup</w:t>
            </w:r>
          </w:p>
        </w:tc>
        <w:tc>
          <w:tcPr/>
          <w:p>
            <w:pPr>
              <w:pStyle w:val="Compact"/>
              <w:jc w:val="left"/>
            </w:pPr>
            <w:r>
              <w:t xml:space="preserve">Months 7-18</w:t>
            </w:r>
          </w:p>
        </w:tc>
        <w:tc>
          <w:tcPr/>
          <w:p>
            <w:pPr>
              <w:pStyle w:val="Compact"/>
              <w:jc w:val="left"/>
            </w:pPr>
            <w:r>
              <w:t xml:space="preserve">Fully accredited curriculum; Operational mechatronics lab with 3 industrial prototypes</w:t>
            </w:r>
          </w:p>
        </w:tc>
      </w:tr>
      <w:tr>
        <w:tc>
          <w:tcPr/>
          <w:p>
            <w:pPr>
              <w:pStyle w:val="Compact"/>
              <w:jc w:val="left"/>
            </w:pPr>
            <w:r>
              <w:t xml:space="preserve">Pilot Implementation &amp; Evaluation</w:t>
            </w:r>
          </w:p>
        </w:tc>
        <w:tc>
          <w:tcPr/>
          <w:p>
            <w:pPr>
              <w:pStyle w:val="Compact"/>
              <w:jc w:val="left"/>
            </w:pPr>
            <w:r>
              <w:t xml:space="preserve">Months 19-24</w:t>
            </w:r>
          </w:p>
        </w:tc>
        <w:tc>
          <w:tcPr/>
          <w:p>
            <w:pPr>
              <w:pStyle w:val="Compact"/>
              <w:jc w:val="left"/>
            </w:pPr>
            <w:r>
              <w:t xml:space="preserve">Graduate cohort placement data; Factory performance metrics report</w:t>
            </w:r>
          </w:p>
        </w:tc>
      </w:tr>
    </w:tbl>
    <w:bookmarkEnd w:id="26"/>
    <w:bookmarkStart w:id="27" w:name="conclusion"/>
    <w:p>
      <w:pPr>
        <w:pStyle w:val="Heading2"/>
      </w:pPr>
      <w:r>
        <w:t xml:space="preserve">8. Conclusion</w:t>
      </w:r>
    </w:p>
    <w:p>
      <w:pPr>
        <w:pStyle w:val="FirstParagraph"/>
      </w:pPr>
      <w:r>
        <w:t xml:space="preserve">Egypt Alexandria's industrial future hinges on the strategic deployment of skilled technical talent capable of bridging the gap between theoretical engineering and practical factory application. This</w:t>
      </w:r>
      <w:r>
        <w:t xml:space="preserve"> </w:t>
      </w:r>
      <w:r>
        <w:rPr>
          <w:bCs/>
          <w:b/>
        </w:rPr>
        <w:t xml:space="preserve">Research Proposal</w:t>
      </w:r>
      <w:r>
        <w:t xml:space="preserve"> </w:t>
      </w:r>
      <w:r>
        <w:t xml:space="preserve">directly addresses this imperative by creating a sustainable pathway for developing locally relevant</w:t>
      </w:r>
      <w:r>
        <w:t xml:space="preserve"> </w:t>
      </w:r>
      <w:r>
        <w:rPr>
          <w:bCs/>
          <w:b/>
        </w:rPr>
        <w:t xml:space="preserve">Mechatronics Engineer</w:t>
      </w:r>
      <w:r>
        <w:t xml:space="preserve"> </w:t>
      </w:r>
      <w:r>
        <w:t xml:space="preserve">expertise. By anchoring our work within Alexandria's unique economic ecosystem – leveraging its port infrastructure, industrial zones, and educational institutions – we move beyond generic training programs to deliver solutions that resonate with the city's specific challenges and opportunities. The successful implementation of this initiative will catalyze a virtuous cycle: industry demand drives curriculum innovation; graduates solve real problems; factories achieve greater efficiency; and Alexandria emerges as a beacon of technological advancement in Egypt, contributing decisively to national economic goals while empowering its youth with high-value careers in the global industrial revolution.</w:t>
      </w:r>
    </w:p>
    <w:bookmarkEnd w:id="27"/>
    <w:bookmarkStart w:id="28" w:name="references-key-sources"/>
    <w:p>
      <w:pPr>
        <w:pStyle w:val="Heading2"/>
      </w:pPr>
      <w:r>
        <w:t xml:space="preserve">9. References (Key Sources)</w:t>
      </w:r>
    </w:p>
    <w:p>
      <w:pPr>
        <w:numPr>
          <w:ilvl w:val="0"/>
          <w:numId w:val="1004"/>
        </w:numPr>
        <w:pStyle w:val="Compact"/>
      </w:pPr>
      <w:r>
        <w:t xml:space="preserve">Egypt Vision 2030: Industrial Development Strategy (2016)</w:t>
      </w:r>
    </w:p>
    <w:p>
      <w:pPr>
        <w:numPr>
          <w:ilvl w:val="0"/>
          <w:numId w:val="1004"/>
        </w:numPr>
        <w:pStyle w:val="Compact"/>
      </w:pPr>
      <w:r>
        <w:t xml:space="preserve">El-Sayed, A., &amp; Ahmed, M. (2020). *Engineering Education Gap Analysis in Egypt*. Journal of Engineering Education.</w:t>
      </w:r>
    </w:p>
    <w:p>
      <w:pPr>
        <w:numPr>
          <w:ilvl w:val="0"/>
          <w:numId w:val="1004"/>
        </w:numPr>
        <w:pStyle w:val="Compact"/>
      </w:pPr>
      <w:r>
        <w:t xml:space="preserve">Siemens. (2021). *Industry 4.0: The Mechatronics Imperative*.</w:t>
      </w:r>
    </w:p>
    <w:p>
      <w:pPr>
        <w:numPr>
          <w:ilvl w:val="0"/>
          <w:numId w:val="1004"/>
        </w:numPr>
        <w:pStyle w:val="Compact"/>
      </w:pPr>
      <w:r>
        <w:t xml:space="preserve">Egypt Ministry of Industry and Foreign Trade. (2023). *National Skills Development Plan Update*.</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Egypt Alexandria</dc:title>
  <dc:creator/>
  <dc:language>en</dc:language>
  <cp:keywords/>
  <dcterms:created xsi:type="dcterms:W3CDTF">2026-07-20T22:42:41Z</dcterms:created>
  <dcterms:modified xsi:type="dcterms:W3CDTF">2026-07-20T22:42:41Z</dcterms:modified>
</cp:coreProperties>
</file>

<file path=docProps/custom.xml><?xml version="1.0" encoding="utf-8"?>
<Properties xmlns="http://schemas.openxmlformats.org/officeDocument/2006/custom-properties" xmlns:vt="http://schemas.openxmlformats.org/officeDocument/2006/docPropsVTypes"/>
</file>