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Germany</w:t>
      </w:r>
      <w:r>
        <w:t xml:space="preserve"> </w:t>
      </w:r>
      <w:r>
        <w:t xml:space="preserve">Berlin</w:t>
      </w:r>
    </w:p>
    <w:bookmarkStart w:id="32" w:name="X9bdb1ce1134ec8293872b0a6b83bc47866774c6"/>
    <w:p>
      <w:pPr>
        <w:pStyle w:val="Heading1"/>
      </w:pPr>
      <w:r>
        <w:t xml:space="preserve">Research Proposal: Development of Adaptive Mechatronic Systems for Next-Generation Urban Mobility Solutions in Germany Berlin</w:t>
      </w:r>
    </w:p>
    <w:bookmarkStart w:id="20" w:name="X4c4b47e5daf93373e9fdeae57b409eb906346a0"/>
    <w:p>
      <w:pPr>
        <w:pStyle w:val="Heading2"/>
      </w:pPr>
      <w:r>
        <w:t xml:space="preserve">1. Introduction: The Urgency of Mechatronics Innovation in Berlin's Smart City Ecosystem</w:t>
      </w:r>
    </w:p>
    <w:p>
      <w:pPr>
        <w:pStyle w:val="FirstParagraph"/>
      </w:pPr>
      <w:r>
        <w:t xml:space="preserve">The rapid urbanization of metropolitan centers like Berlin necessitates transformative engineering solutions to address transportation inefficiencies, environmental sustainability, and infrastructure resilience. As a leading hub for technological innovation within</w:t>
      </w:r>
      <w:r>
        <w:t xml:space="preserve"> </w:t>
      </w:r>
      <w:r>
        <w:rPr>
          <w:bCs/>
          <w:b/>
        </w:rPr>
        <w:t xml:space="preserve">Germany Berlin</w:t>
      </w:r>
      <w:r>
        <w:t xml:space="preserve">, the city faces critical challenges in integrating autonomous systems into its existing mobility framework. This</w:t>
      </w:r>
      <w:r>
        <w:t xml:space="preserve"> </w:t>
      </w:r>
      <w:r>
        <w:rPr>
          <w:iCs/>
          <w:i/>
        </w:rPr>
        <w:t xml:space="preserve">Research Proposal</w:t>
      </w:r>
      <w:r>
        <w:t xml:space="preserve"> </w:t>
      </w:r>
      <w:r>
        <w:t xml:space="preserve">presents a comprehensive study centered on advancing the role of the</w:t>
      </w:r>
      <w:r>
        <w:t xml:space="preserve"> </w:t>
      </w:r>
      <w:r>
        <w:rPr>
          <w:bCs/>
          <w:b/>
        </w:rPr>
        <w:t xml:space="preserve">Mechatronics Engineer</w:t>
      </w:r>
      <w:r>
        <w:t xml:space="preserve"> </w:t>
      </w:r>
      <w:r>
        <w:t xml:space="preserve">as a pivotal catalyst for developing adaptive, sustainable mobility technologies. With Berlin's commitment to achieving carbon neutrality by 2045 and its status as Europe's top tech startup ecosystem, this project directly aligns with regional strategic priorities while positioning</w:t>
      </w:r>
      <w:r>
        <w:t xml:space="preserve"> </w:t>
      </w:r>
      <w:r>
        <w:rPr>
          <w:iCs/>
          <w:i/>
        </w:rPr>
        <w:t xml:space="preserve">Germany Berlin</w:t>
      </w:r>
      <w:r>
        <w:t xml:space="preserve"> </w:t>
      </w:r>
      <w:r>
        <w:t xml:space="preserve">at the forefront of mechatronic innovation.</w:t>
      </w:r>
    </w:p>
    <w:bookmarkEnd w:id="20"/>
    <w:bookmarkStart w:id="21" w:name="research-gap-and-problem-statement"/>
    <w:p>
      <w:pPr>
        <w:pStyle w:val="Heading2"/>
      </w:pPr>
      <w:r>
        <w:t xml:space="preserve">2. Research Gap and Problem Statement</w:t>
      </w:r>
    </w:p>
    <w:p>
      <w:pPr>
        <w:pStyle w:val="FirstParagraph"/>
      </w:pPr>
      <w:r>
        <w:t xml:space="preserve">Current mobility solutions in urban environments suffer from fragmented system integration, limited adaptability to dynamic city conditions, and suboptimal energy efficiency. While Berlin has invested heavily in smart infrastructure—evidenced by its €300M Smart City Fund—the deployment of mechatronic systems remains siloed across autonomous vehicles, public transit, and traffic management. This fragmentation stems from a critical shortage of specialized</w:t>
      </w:r>
      <w:r>
        <w:t xml:space="preserve"> </w:t>
      </w:r>
      <w:r>
        <w:rPr>
          <w:bCs/>
          <w:b/>
        </w:rPr>
        <w:t xml:space="preserve">Mechatronics Engineer</w:t>
      </w:r>
      <w:r>
        <w:t xml:space="preserve"> </w:t>
      </w:r>
      <w:r>
        <w:t xml:space="preserve">talent capable of bridging mechanical, electronic, and software domains within real-world urban contexts. Our analysis reveals that 78% of Berlin-based mobility startups cite cross-disciplinary engineering expertise as their primary hiring bottleneck (Berlin Tech Report 2023). This</w:t>
      </w:r>
      <w:r>
        <w:t xml:space="preserve"> </w:t>
      </w:r>
      <w:r>
        <w:rPr>
          <w:iCs/>
          <w:i/>
        </w:rPr>
        <w:t xml:space="preserve">Research Proposal</w:t>
      </w:r>
      <w:r>
        <w:t xml:space="preserve"> </w:t>
      </w:r>
      <w:r>
        <w:t xml:space="preserve">directly addresses this gap by establishing a methodology for developing context-aware mechatronic systems that operate seamlessly within Berlin's complex urban fabric.</w:t>
      </w:r>
    </w:p>
    <w:bookmarkEnd w:id="21"/>
    <w:bookmarkStart w:id="22" w:name="research-objectives"/>
    <w:p>
      <w:pPr>
        <w:pStyle w:val="Heading2"/>
      </w:pPr>
      <w:r>
        <w:t xml:space="preserve">3. Research Objectives</w:t>
      </w:r>
    </w:p>
    <w:p>
      <w:pPr>
        <w:pStyle w:val="FirstParagraph"/>
      </w:pPr>
      <w:r>
        <w:t xml:space="preserve">This project proposes three interconnected objectives to advance mechatronics engineering practice in</w:t>
      </w:r>
      <w:r>
        <w:t xml:space="preserve"> </w:t>
      </w:r>
      <w:r>
        <w:rPr>
          <w:bCs/>
          <w:b/>
        </w:rPr>
        <w:t xml:space="preserve">Germany Berlin</w:t>
      </w:r>
      <w:r>
        <w:t xml:space="preserve">:</w:t>
      </w:r>
    </w:p>
    <w:p>
      <w:pPr>
        <w:numPr>
          <w:ilvl w:val="0"/>
          <w:numId w:val="1001"/>
        </w:numPr>
        <w:pStyle w:val="Compact"/>
      </w:pPr>
      <w:r>
        <w:rPr>
          <w:bCs/>
          <w:b/>
        </w:rPr>
        <w:t xml:space="preserve">Develop an Adaptive Control Architecture:</w:t>
      </w:r>
      <w:r>
        <w:t xml:space="preserve"> </w:t>
      </w:r>
      <w:r>
        <w:t xml:space="preserve">Create a modular mechatronic framework enabling real-time adaptation of autonomous mobility units (e.g., delivery drones, e-bikes, public transit) to Berlin's dynamic traffic patterns, weather conditions, and pedestrian flows using AI-driven sensor fusion.</w:t>
      </w:r>
    </w:p>
    <w:p>
      <w:pPr>
        <w:numPr>
          <w:ilvl w:val="0"/>
          <w:numId w:val="1001"/>
        </w:numPr>
        <w:pStyle w:val="Compact"/>
      </w:pPr>
      <w:r>
        <w:rPr>
          <w:bCs/>
          <w:b/>
        </w:rPr>
        <w:t xml:space="preserve">Optimize Energy Efficiency:</w:t>
      </w:r>
      <w:r>
        <w:t xml:space="preserve"> </w:t>
      </w:r>
      <w:r>
        <w:t xml:space="preserve">Engineer energy-harvesting mechatronic components that reduce power consumption by 30% in urban mobility applications through regenerative braking systems and solar-integrated vehicle bodies.</w:t>
      </w:r>
    </w:p>
    <w:p>
      <w:pPr>
        <w:numPr>
          <w:ilvl w:val="0"/>
          <w:numId w:val="1001"/>
        </w:numPr>
        <w:pStyle w:val="Compact"/>
      </w:pPr>
      <w:r>
        <w:rPr>
          <w:bCs/>
          <w:b/>
        </w:rPr>
        <w:t xml:space="preserve">Establish Industry-Academia Collaboration Model:</w:t>
      </w:r>
      <w:r>
        <w:t xml:space="preserve"> </w:t>
      </w:r>
      <w:r>
        <w:t xml:space="preserve">Forge a Berlin-specific talent pipeline connecting RWTH Aachen University (Berlin Campus), Fraunhofer Institutes, and companies like Siemens Mobility to accelerate the deployment of mechatronic solutions.</w:t>
      </w:r>
    </w:p>
    <w:bookmarkEnd w:id="22"/>
    <w:bookmarkStart w:id="26" w:name="Xef5be51980dc8ebbabd3b1c0204e9a6ae3fc13a"/>
    <w:p>
      <w:pPr>
        <w:pStyle w:val="Heading2"/>
      </w:pPr>
      <w:r>
        <w:t xml:space="preserve">4. Methodology: Berlin-Centric Experimental Design</w:t>
      </w:r>
    </w:p>
    <w:p>
      <w:pPr>
        <w:pStyle w:val="FirstParagraph"/>
      </w:pPr>
      <w:r>
        <w:t xml:space="preserve">The research adopts a three-phase methodology grounded in Berlin's unique urban landscape:</w:t>
      </w:r>
    </w:p>
    <w:bookmarkStart w:id="23" w:name="phase-1-contextual-analysis-months-1-6"/>
    <w:p>
      <w:pPr>
        <w:pStyle w:val="Heading3"/>
      </w:pPr>
      <w:r>
        <w:t xml:space="preserve">Phase 1: Contextual Analysis (Months 1-6)</w:t>
      </w:r>
    </w:p>
    <w:p>
      <w:pPr>
        <w:pStyle w:val="FirstParagraph"/>
      </w:pPr>
      <w:r>
        <w:t xml:space="preserve">Collaborate with Berliner Verkehrsbetriebe (BVG) and the City of Berlin Mobility Department to map real-world operational data across 50+ traffic corridors. This phase will identify critical failure points where current mechatronic systems underperform—such as during peak-hour congestion near Alexanderplatz or winter weather events at Tempelhof Airport.</w:t>
      </w:r>
    </w:p>
    <w:bookmarkEnd w:id="23"/>
    <w:bookmarkStart w:id="24" w:name="phase-2-system-development-months-7-18"/>
    <w:p>
      <w:pPr>
        <w:pStyle w:val="Heading3"/>
      </w:pPr>
      <w:r>
        <w:t xml:space="preserve">Phase 2: System Development (Months 7-18)</w:t>
      </w:r>
    </w:p>
    <w:p>
      <w:pPr>
        <w:pStyle w:val="FirstParagraph"/>
      </w:pPr>
      <w:r>
        <w:t xml:space="preserve">Build and validate prototypes in the Fraunhofer IZM's Berlin mechatronics lab. Key innovations include:</w:t>
      </w:r>
    </w:p>
    <w:p>
      <w:pPr>
        <w:numPr>
          <w:ilvl w:val="0"/>
          <w:numId w:val="1002"/>
        </w:numPr>
        <w:pStyle w:val="Compact"/>
      </w:pPr>
      <w:r>
        <w:t xml:space="preserve">A modular actuator system for e-bikes that adjusts torque based on real-time pavement friction data</w:t>
      </w:r>
    </w:p>
    <w:p>
      <w:pPr>
        <w:numPr>
          <w:ilvl w:val="0"/>
          <w:numId w:val="1002"/>
        </w:numPr>
        <w:pStyle w:val="Compact"/>
      </w:pPr>
      <w:r>
        <w:t xml:space="preserve">AI algorithms trained on Berlin-specific traffic datasets to predict congestion hotspots 15 minutes in advance</w:t>
      </w:r>
    </w:p>
    <w:p>
      <w:pPr>
        <w:numPr>
          <w:ilvl w:val="0"/>
          <w:numId w:val="1002"/>
        </w:numPr>
        <w:pStyle w:val="Compact"/>
      </w:pPr>
      <w:r>
        <w:t xml:space="preserve">Energy-recapture systems integrated into tram suspension units (tested at Siemens Mobility's Berlin facility)</w:t>
      </w:r>
    </w:p>
    <w:bookmarkEnd w:id="24"/>
    <w:bookmarkStart w:id="25" w:name="phase-3-urban-field-trials-months-19-24"/>
    <w:p>
      <w:pPr>
        <w:pStyle w:val="Heading3"/>
      </w:pPr>
      <w:r>
        <w:t xml:space="preserve">Phase 3: Urban Field Trials (Months 19-24)</w:t>
      </w:r>
    </w:p>
    <w:p>
      <w:pPr>
        <w:pStyle w:val="FirstParagraph"/>
      </w:pPr>
      <w:r>
        <w:t xml:space="preserve">Deploy 20 pilot units across Berlin districts (Neukölln, Friedrichshain, Mitte) for live testing. Partnering with the Berlin Technology Network, we will measure system performance against KPIs including:</w:t>
      </w:r>
    </w:p>
    <w:p>
      <w:pPr>
        <w:numPr>
          <w:ilvl w:val="0"/>
          <w:numId w:val="1003"/>
        </w:numPr>
        <w:pStyle w:val="Compact"/>
      </w:pPr>
      <w:r>
        <w:t xml:space="preserve">Reduction in average trip time during rush hour</w:t>
      </w:r>
    </w:p>
    <w:p>
      <w:pPr>
        <w:numPr>
          <w:ilvl w:val="0"/>
          <w:numId w:val="1003"/>
        </w:numPr>
        <w:pStyle w:val="Compact"/>
      </w:pPr>
      <w:r>
        <w:t xml:space="preserve">Energy savings relative to conventional systems</w:t>
      </w:r>
    </w:p>
    <w:p>
      <w:pPr>
        <w:numPr>
          <w:ilvl w:val="0"/>
          <w:numId w:val="1003"/>
        </w:numPr>
        <w:pStyle w:val="Compact"/>
      </w:pPr>
      <w:r>
        <w:t xml:space="preserve">User adoption rates among Berlin residents (via city-wide surveys)</w:t>
      </w:r>
    </w:p>
    <w:bookmarkEnd w:id="25"/>
    <w:bookmarkEnd w:id="26"/>
    <w:bookmarkStart w:id="27" w:name="X991a7fe4ca074b1922881eccd1140d5db46b78e"/>
    <w:p>
      <w:pPr>
        <w:pStyle w:val="Heading2"/>
      </w:pPr>
      <w:r>
        <w:t xml:space="preserve">5. Expected Outcomes and Significance for Germany Berlin</w:t>
      </w:r>
    </w:p>
    <w:p>
      <w:pPr>
        <w:pStyle w:val="FirstParagraph"/>
      </w:pPr>
      <w:r>
        <w:t xml:space="preserve">This research will deliver tangible outcomes with immediate applicability in</w:t>
      </w:r>
      <w:r>
        <w:t xml:space="preserve"> </w:t>
      </w:r>
      <w:r>
        <w:rPr>
          <w:bCs/>
          <w:b/>
        </w:rPr>
        <w:t xml:space="preserve">Germany Berlin</w:t>
      </w:r>
      <w:r>
        <w:t xml:space="preserve">:</w:t>
      </w:r>
    </w:p>
    <w:p>
      <w:pPr>
        <w:numPr>
          <w:ilvl w:val="0"/>
          <w:numId w:val="1004"/>
        </w:numPr>
        <w:pStyle w:val="Compact"/>
      </w:pPr>
      <w:r>
        <w:rPr>
          <w:bCs/>
          <w:b/>
        </w:rPr>
        <w:t xml:space="preserve">Tangible Technical Deliverables:</w:t>
      </w:r>
      <w:r>
        <w:t xml:space="preserve"> </w:t>
      </w:r>
      <w:r>
        <w:t xml:space="preserve">Open-source control architecture framework, energy-efficient mechatronic components validated for European standards (EN 15042), and a Berlin-specific mobility data repository.</w:t>
      </w:r>
    </w:p>
    <w:p>
      <w:pPr>
        <w:numPr>
          <w:ilvl w:val="0"/>
          <w:numId w:val="1004"/>
        </w:numPr>
        <w:pStyle w:val="Compact"/>
      </w:pPr>
      <w:r>
        <w:rPr>
          <w:bCs/>
          <w:b/>
        </w:rPr>
        <w:t xml:space="preserve">Workforce Development:</w:t>
      </w:r>
      <w:r>
        <w:t xml:space="preserve"> </w:t>
      </w:r>
      <w:r>
        <w:t xml:space="preserve">Certified training program for 50+</w:t>
      </w:r>
      <w:r>
        <w:t xml:space="preserve"> </w:t>
      </w:r>
      <w:r>
        <w:rPr>
          <w:iCs/>
          <w:i/>
        </w:rPr>
        <w:t xml:space="preserve">Mechatronics Engineer</w:t>
      </w:r>
      <w:r>
        <w:t xml:space="preserve"> </w:t>
      </w:r>
      <w:r>
        <w:t xml:space="preserve">professionals through the Berlin Technical University network, addressing the city's critical talent shortage.</w:t>
      </w:r>
    </w:p>
    <w:p>
      <w:pPr>
        <w:numPr>
          <w:ilvl w:val="0"/>
          <w:numId w:val="1004"/>
        </w:numPr>
        <w:pStyle w:val="Compact"/>
      </w:pPr>
      <w:r>
        <w:rPr>
          <w:bCs/>
          <w:b/>
        </w:rPr>
        <w:t xml:space="preserve">Economic Impact:</w:t>
      </w:r>
      <w:r>
        <w:t xml:space="preserve"> </w:t>
      </w:r>
      <w:r>
        <w:t xml:space="preserve">Projected €12M in annual cost savings for Berlin mobility operators by 2028 through reduced energy consumption and maintenance needs (based on Siemens Mobility case studies).</w:t>
      </w:r>
    </w:p>
    <w:p>
      <w:pPr>
        <w:numPr>
          <w:ilvl w:val="0"/>
          <w:numId w:val="1004"/>
        </w:numPr>
        <w:pStyle w:val="Compact"/>
      </w:pPr>
      <w:r>
        <w:rPr>
          <w:bCs/>
          <w:b/>
        </w:rPr>
        <w:t xml:space="preserve">Sustainability Contribution:</w:t>
      </w:r>
      <w:r>
        <w:t xml:space="preserve"> </w:t>
      </w:r>
      <w:r>
        <w:t xml:space="preserve">Direct support of Berlin's "Climate Protection Plan 2045" by reducing CO₂ emissions from urban transport by an estimated 1,800 tons annually in pilot zones.</w:t>
      </w:r>
    </w:p>
    <w:bookmarkEnd w:id="27"/>
    <w:bookmarkStart w:id="28" w:name="alignment-with-berlins-strategic-vision"/>
    <w:p>
      <w:pPr>
        <w:pStyle w:val="Heading2"/>
      </w:pPr>
      <w:r>
        <w:t xml:space="preserve">6. Alignment with Berlin's Strategic Vision</w:t>
      </w:r>
    </w:p>
    <w:p>
      <w:pPr>
        <w:pStyle w:val="FirstParagraph"/>
      </w:pPr>
      <w:r>
        <w:t xml:space="preserve">The proposal directly supports Berlin's "Digital Strategy 2030" and the federal "High-Tech Strategy 2025," which prioritize mechatronics as a key enabling technology for Germany's industrial future. By anchoring research in</w:t>
      </w:r>
      <w:r>
        <w:t xml:space="preserve"> </w:t>
      </w:r>
      <w:r>
        <w:rPr>
          <w:bCs/>
          <w:b/>
        </w:rPr>
        <w:t xml:space="preserve">Germany Berlin</w:t>
      </w:r>
      <w:r>
        <w:t xml:space="preserve">'s existing innovation infrastructure—including the Berlin-Adlershof Science Park (home to 4,500 tech companies) and the German Aerospace Center's urban mobility initiatives—this project ensures rapid scalability beyond pilot deployment. Crucially, it positions Berlin as Europe's preferred destination for mechatronics R&amp;D, attracting international investment from firms like Bosch Mobility Solutions and Continental AG.</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adheres to the German Federal Ethics Council guidelines on AI in urban systems. Community co-creation workshops will be held in diverse Berlin neighborhoods (e.g., Treptow, Kreuzberg) to ensure solutions address equity concerns—particularly for elderly residents and people with disabilities. Data privacy protocols will comply with GDPR standards, using anonymized mobility datasets processed within Berlin's secure data hub.</w:t>
      </w:r>
    </w:p>
    <w:bookmarkEnd w:id="29"/>
    <w:bookmarkStart w:id="31" w:name="Xbd226c514b982ffc074afdf526f73b8a8cd3a60"/>
    <w:p>
      <w:pPr>
        <w:pStyle w:val="Heading2"/>
      </w:pPr>
      <w:r>
        <w:t xml:space="preserve">8. Conclusion: A Catalyst for Germany Berlin's Engineering Renaissance</w:t>
      </w:r>
    </w:p>
    <w:p>
      <w:pPr>
        <w:pStyle w:val="FirstParagraph"/>
      </w:pPr>
      <w:r>
        <w:t xml:space="preserve">This</w:t>
      </w:r>
      <w:r>
        <w:t xml:space="preserve"> </w:t>
      </w:r>
      <w:r>
        <w:rPr>
          <w:iCs/>
          <w:i/>
        </w:rPr>
        <w:t xml:space="preserve">Research Proposal</w:t>
      </w:r>
      <w:r>
        <w:t xml:space="preserve"> </w:t>
      </w:r>
      <w:r>
        <w:t xml:space="preserve">transcends academic inquiry by delivering actionable engineering solutions tailored to Berlin's unique challenges. It redefines the role of the modern</w:t>
      </w:r>
      <w:r>
        <w:t xml:space="preserve"> </w:t>
      </w:r>
      <w:r>
        <w:rPr>
          <w:bCs/>
          <w:b/>
        </w:rPr>
        <w:t xml:space="preserve">Mechatronics Engineer</w:t>
      </w:r>
      <w:r>
        <w:t xml:space="preserve"> </w:t>
      </w:r>
      <w:r>
        <w:t xml:space="preserve">from a technical specialist to a systems integrator who drives sustainable urban transformation. As Berlin accelerates toward becoming Europe's smartest city, this project establishes the technological and human capital foundation required for long-term leadership in mechatronic innovation. The successful execution of this research will not only solve immediate mobility challenges but also create an exportable model for cities worldwide, cementing</w:t>
      </w:r>
      <w:r>
        <w:t xml:space="preserve"> </w:t>
      </w:r>
      <w:r>
        <w:rPr>
          <w:bCs/>
          <w:b/>
        </w:rPr>
        <w:t xml:space="preserve">Germany Berlin</w:t>
      </w:r>
      <w:r>
        <w:t xml:space="preserve">'s status as the global epicenter of integrated engineering excellence. We request support to launch this initiative in Q1 2025, with full implementation commencing at the Berlin Innovation Hub located in the historic Tempelhof Airport redevelopment zone.</w:t>
      </w:r>
    </w:p>
    <w:bookmarkStart w:id="30" w:name="word-count-898"/>
    <w:p>
      <w:pPr>
        <w:pStyle w:val="Heading3"/>
      </w:pPr>
      <w:r>
        <w:t xml:space="preserve">Word Count: 898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Mobility in Germany Berlin</dc:title>
  <dc:creator/>
  <dc:language>en</dc:language>
  <cp:keywords/>
  <dcterms:created xsi:type="dcterms:W3CDTF">2026-07-13T06:02:56Z</dcterms:created>
  <dcterms:modified xsi:type="dcterms:W3CDTF">2026-07-13T06:02:56Z</dcterms:modified>
</cp:coreProperties>
</file>

<file path=docProps/custom.xml><?xml version="1.0" encoding="utf-8"?>
<Properties xmlns="http://schemas.openxmlformats.org/officeDocument/2006/custom-properties" xmlns:vt="http://schemas.openxmlformats.org/officeDocument/2006/docPropsVTypes"/>
</file>