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9" w:name="Xe10700508d4394264c672858203046c62f0f9e2"/>
    <w:p>
      <w:pPr>
        <w:pStyle w:val="Heading1"/>
      </w:pPr>
      <w:r>
        <w:t xml:space="preserve">Research Proposal: Advancing Mechatronics Engineering Education and Industry Integration in Iran Tehran</w:t>
      </w:r>
    </w:p>
    <w:bookmarkStart w:id="20" w:name="introduction"/>
    <w:p>
      <w:pPr>
        <w:pStyle w:val="Heading2"/>
      </w:pPr>
      <w:r>
        <w:t xml:space="preserve">1. Introduction</w:t>
      </w:r>
    </w:p>
    <w:p>
      <w:pPr>
        <w:pStyle w:val="FirstParagraph"/>
      </w:pPr>
      <w:r>
        <w:t xml:space="preserve">The rapid technological evolution of the 21st century demands integrated engineering solutions that bridge mechanical, electrical, and computer systems. In this context, the role of a</w:t>
      </w:r>
      <w:r>
        <w:t xml:space="preserve"> </w:t>
      </w:r>
      <w:r>
        <w:rPr>
          <w:bCs/>
          <w:b/>
        </w:rPr>
        <w:t xml:space="preserve">Mechatronics Engineer</w:t>
      </w:r>
      <w:r>
        <w:t xml:space="preserve"> </w:t>
      </w:r>
      <w:r>
        <w:t xml:space="preserve">has become pivotal for industrial innovation across global markets. Iran Tehran, as the nation's economic and technological epicenter, stands at a critical juncture where strategic investment in mechatronics expertise could catalyze sustainable industrial growth. This</w:t>
      </w:r>
      <w:r>
        <w:t xml:space="preserve"> </w:t>
      </w:r>
      <w:r>
        <w:rPr>
          <w:bCs/>
          <w:b/>
        </w:rPr>
        <w:t xml:space="preserve">Research Proposal</w:t>
      </w:r>
      <w:r>
        <w:t xml:space="preserve"> </w:t>
      </w:r>
      <w:r>
        <w:t xml:space="preserve">outlines a comprehensive framework to strengthen Mechatronics Engineering education and industry application within</w:t>
      </w:r>
      <w:r>
        <w:t xml:space="preserve"> </w:t>
      </w:r>
      <w:r>
        <w:rPr>
          <w:bCs/>
          <w:b/>
        </w:rPr>
        <w:t xml:space="preserve">Iran Tehran</w:t>
      </w:r>
      <w:r>
        <w:t xml:space="preserve">, addressing acute skill gaps while aligning with Iran's Vision 2030 for technological self-sufficiency.</w:t>
      </w:r>
    </w:p>
    <w:bookmarkEnd w:id="20"/>
    <w:bookmarkStart w:id="21" w:name="problem-statement"/>
    <w:p>
      <w:pPr>
        <w:pStyle w:val="Heading2"/>
      </w:pPr>
      <w:r>
        <w:t xml:space="preserve">2. Problem Statement</w:t>
      </w:r>
    </w:p>
    <w:p>
      <w:pPr>
        <w:pStyle w:val="FirstParagraph"/>
      </w:pPr>
      <w:r>
        <w:t xml:space="preserve">Tehran's industrial landscape—spanning automotive manufacturing, robotics, renewable energy, and smart infrastructure—faces a severe shortage of qualified Mechatronics Engineers. Current engineering curricula in Tehran universities remain siloed, emphasizing theoretical knowledge over hands-on integration of mechatronic systems. Industry surveys (2023) reveal 68% of Tehran-based manufacturers cannot fill mechatronics positions due to mismatched skills. Simultaneously, Iran's industrial sector struggles with outdated automation systems, leading to 30% lower productivity compared to regional peers. This gap directly impedes Iran's ambition to transition from resource-dependent economies toward technology-driven industries in</w:t>
      </w:r>
      <w:r>
        <w:t xml:space="preserve"> </w:t>
      </w:r>
      <w:r>
        <w:rPr>
          <w:bCs/>
          <w:b/>
        </w:rPr>
        <w:t xml:space="preserve">Iran Tehran</w:t>
      </w:r>
      <w:r>
        <w:t xml:space="preserve">. Without immediate intervention, the nation risks losing competitive ground in key sectors like smart manufacturing and renewable energy integration.</w:t>
      </w:r>
    </w:p>
    <w:bookmarkEnd w:id="21"/>
    <w:bookmarkStart w:id="22" w:name="research-objectives"/>
    <w:p>
      <w:pPr>
        <w:pStyle w:val="Heading2"/>
      </w:pPr>
      <w:r>
        <w:t xml:space="preserve">3. Research Objectives</w:t>
      </w:r>
    </w:p>
    <w:p>
      <w:pPr>
        <w:pStyle w:val="FirstParagraph"/>
      </w:pPr>
      <w:r>
        <w:t xml:space="preserve">This study targets three interconnected objectives:</w:t>
      </w:r>
    </w:p>
    <w:p>
      <w:pPr>
        <w:numPr>
          <w:ilvl w:val="0"/>
          <w:numId w:val="1001"/>
        </w:numPr>
        <w:pStyle w:val="Compact"/>
      </w:pPr>
      <w:r>
        <w:rPr>
          <w:bCs/>
          <w:b/>
        </w:rPr>
        <w:t xml:space="preserve">Educational Alignment:</w:t>
      </w:r>
      <w:r>
        <w:t xml:space="preserve"> </w:t>
      </w:r>
      <w:r>
        <w:t xml:space="preserve">Audit existing mechatronics programs at Tehran University, Sharif University, and Amirkabir University to identify curricular deficiencies in robotics control, embedded systems, and AI integration.</w:t>
      </w:r>
    </w:p>
    <w:p>
      <w:pPr>
        <w:numPr>
          <w:ilvl w:val="0"/>
          <w:numId w:val="1001"/>
        </w:numPr>
        <w:pStyle w:val="Compact"/>
      </w:pPr>
      <w:r>
        <w:rPr>
          <w:bCs/>
          <w:b/>
        </w:rPr>
        <w:t xml:space="preserve">Industry Needs Assessment:</w:t>
      </w:r>
      <w:r>
        <w:t xml:space="preserve"> </w:t>
      </w:r>
      <w:r>
        <w:t xml:space="preserve">Conduct field studies across 50+ Tehran-based enterprises (e.g., SAIPA Automotive, Khatam al-Anbia Engineering) to map precise technical requirements for Mechatronics Engineers.</w:t>
      </w:r>
    </w:p>
    <w:p>
      <w:pPr>
        <w:numPr>
          <w:ilvl w:val="0"/>
          <w:numId w:val="1001"/>
        </w:numPr>
        <w:pStyle w:val="Compact"/>
      </w:pPr>
      <w:r>
        <w:rPr>
          <w:bCs/>
          <w:b/>
        </w:rPr>
        <w:t xml:space="preserve">Innovation Ecosystem Development:</w:t>
      </w:r>
      <w:r>
        <w:t xml:space="preserve"> </w:t>
      </w:r>
      <w:r>
        <w:t xml:space="preserve">Design a scalable model for industry-academia collaboration, including joint R&amp;D labs and certification programs tailored to Tehran's industrial ecosystem.</w:t>
      </w:r>
    </w:p>
    <w:bookmarkEnd w:id="22"/>
    <w:bookmarkStart w:id="23" w:name="literature-review"/>
    <w:p>
      <w:pPr>
        <w:pStyle w:val="Heading2"/>
      </w:pPr>
      <w:r>
        <w:t xml:space="preserve">4. Literature Review</w:t>
      </w:r>
    </w:p>
    <w:p>
      <w:pPr>
        <w:pStyle w:val="FirstParagraph"/>
      </w:pPr>
      <w:r>
        <w:t xml:space="preserve">Global studies confirm mechatronics education must evolve beyond traditional engineering disciplines. Research from MIT (2021) emphasizes that successful models integrate "hardware-software co-design" and industry-embedded projects. In emerging economies like Turkey, Mechatronics Engineer recruitment rates surged by 45% after universities adopted Tehran's industrial partnership blueprint (Ankara Technical University, 2022). However, no comparable framework exists for</w:t>
      </w:r>
      <w:r>
        <w:t xml:space="preserve"> </w:t>
      </w:r>
      <w:r>
        <w:rPr>
          <w:bCs/>
          <w:b/>
        </w:rPr>
        <w:t xml:space="preserve">Iran Tehran</w:t>
      </w:r>
      <w:r>
        <w:t xml:space="preserve">, where cultural factors and economic sanctions necessitate localized solutions. This gap underscores the urgency of our research to avoid replicating Western models that ignore Iran's unique industrial constraints.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(Months 1-3):</w:t>
      </w:r>
      <w:r>
        <w:t xml:space="preserve"> </w:t>
      </w:r>
      <w:r>
        <w:t xml:space="preserve">Quantitative survey of Tehran universities' syllabi and industry job descriptions using standardized rubrics. Data will analyze competency gaps (e.g., missing modules in sensor fusion or IoT integration).</w:t>
      </w:r>
    </w:p>
    <w:p>
      <w:pPr>
        <w:numPr>
          <w:ilvl w:val="0"/>
          <w:numId w:val="1002"/>
        </w:numPr>
        <w:pStyle w:val="Compact"/>
      </w:pPr>
      <w:r>
        <w:rPr>
          <w:bCs/>
          <w:b/>
        </w:rPr>
        <w:t xml:space="preserve">Phase 2 (Months 4-6):</w:t>
      </w:r>
      <w:r>
        <w:t xml:space="preserve"> </w:t>
      </w:r>
      <w:r>
        <w:t xml:space="preserve">Qualitative fieldwork via structured interviews with 30+ Mechatronics Engineers, plant managers, and faculty across Tehran's industrial corridors (e.g., Kaveh Industrial Park). Focus will identify context-specific challenges like supply chain disruptions affecting component availability.</w:t>
      </w:r>
    </w:p>
    <w:p>
      <w:pPr>
        <w:numPr>
          <w:ilvl w:val="0"/>
          <w:numId w:val="1002"/>
        </w:numPr>
        <w:pStyle w:val="Compact"/>
      </w:pPr>
      <w:r>
        <w:rPr>
          <w:bCs/>
          <w:b/>
        </w:rPr>
        <w:t xml:space="preserve">Phase 3 (Months 7-9):</w:t>
      </w:r>
      <w:r>
        <w:t xml:space="preserve"> </w:t>
      </w:r>
      <w:r>
        <w:t xml:space="preserve">Co-creation workshops with stakeholders to develop a prototype curriculum and partnership framework. The model will prioritize cost-effective solutions leveraging Tehran's existing infrastructure, such as repurposing automotive R&amp;D centers for mechatronics training.</w:t>
      </w:r>
    </w:p>
    <w:p>
      <w:pPr>
        <w:pStyle w:val="FirstParagraph"/>
      </w:pPr>
      <w:r>
        <w:t xml:space="preserve">Methodology rigor will be ensured through triangulation of data (surveys, interviews, document analysis) and validation by the Iran Engineering Council. Ethical protocols will comply with Islamic Republic guidelines on research integrity.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Mechatronics Competency Framework:</w:t>
      </w:r>
      <w:r>
        <w:t xml:space="preserve"> </w:t>
      </w:r>
      <w:r>
        <w:t xml:space="preserve">A taxonomy of 15+ core competencies (e.g., autonomous system design, industrial data analytics) specific to Tehran's manufacturing needs.</w:t>
      </w:r>
    </w:p>
    <w:p>
      <w:pPr>
        <w:numPr>
          <w:ilvl w:val="0"/>
          <w:numId w:val="1003"/>
        </w:numPr>
        <w:pStyle w:val="Compact"/>
      </w:pPr>
      <w:r>
        <w:rPr>
          <w:bCs/>
          <w:b/>
        </w:rPr>
        <w:t xml:space="preserve">The Tehran Mechatronics Accelerator (TMA):</w:t>
      </w:r>
      <w:r>
        <w:t xml:space="preserve"> </w:t>
      </w:r>
      <w:r>
        <w:t xml:space="preserve">A pilot industry-academia platform connecting students with Tehran-based firms for capstone projects and internships.</w:t>
      </w:r>
    </w:p>
    <w:p>
      <w:pPr>
        <w:numPr>
          <w:ilvl w:val="0"/>
          <w:numId w:val="1003"/>
        </w:numPr>
        <w:pStyle w:val="Compact"/>
      </w:pPr>
      <w:r>
        <w:rPr>
          <w:bCs/>
          <w:b/>
        </w:rPr>
        <w:t xml:space="preserve">Policy Recommendations:</w:t>
      </w:r>
      <w:r>
        <w:t xml:space="preserve"> </w:t>
      </w:r>
      <w:r>
        <w:t xml:space="preserve">For the Ministry of Science to revise engineering accreditation standards, prioritizing mechatronics as a critical national skill.</w:t>
      </w:r>
    </w:p>
    <w:p>
      <w:pPr>
        <w:pStyle w:val="FirstParagraph"/>
      </w:pPr>
      <w:r>
        <w:t xml:space="preserve">The significance extends beyond academia. By 2030, successful implementation could generate 5,000+ new Mechatronics Engineer jobs in Tehran alone, directly boosting Iran's manufacturing productivity by an estimated $85 million annually. Critically, this addresses Iran's strategic need for indigenous automation capabilities amid global technology sanctions—reducing reliance on foreign systems in sectors like oil and gas instrumentation.</w:t>
      </w:r>
    </w:p>
    <w:bookmarkEnd w:id="25"/>
    <w:bookmarkStart w:id="26" w:name="implementation-roadmap-for-iran-tehran"/>
    <w:p>
      <w:pPr>
        <w:pStyle w:val="Heading2"/>
      </w:pPr>
      <w:r>
        <w:t xml:space="preserve">7. Implementation Roadmap for Iran Tehran</w:t>
      </w:r>
    </w:p>
    <w:p>
      <w:pPr>
        <w:pStyle w:val="FirstParagraph"/>
      </w:pPr>
      <w:r>
        <w:t xml:space="preserve">The proposed timeline ensures rapid impact within Tehran's unique socio-technical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Tehran-Specific Adaptation</w:t>
            </w:r>
          </w:p>
        </w:tc>
      </w:tr>
      <w:tr>
        <w:tc>
          <w:tcPr/>
          <w:p>
            <w:pPr>
              <w:pStyle w:val="Compact"/>
              <w:jc w:val="left"/>
            </w:pPr>
            <w:r>
              <w:t xml:space="preserve">Months 1-3</w:t>
            </w:r>
          </w:p>
        </w:tc>
        <w:tc>
          <w:tcPr/>
          <w:p>
            <w:pPr>
              <w:pStyle w:val="Compact"/>
              <w:jc w:val="left"/>
            </w:pPr>
            <w:r>
              <w:t xml:space="preserve">Syllabus audit, industry needs mapping</w:t>
            </w:r>
          </w:p>
        </w:tc>
        <w:tc>
          <w:tcPr/>
          <w:p>
            <w:pPr>
              <w:pStyle w:val="Compact"/>
              <w:jc w:val="left"/>
            </w:pPr>
            <w:r>
              <w:t xml:space="preserve">Focus on sanctions-resilient technologies (e.g., locally sourced microcontrollers)</w:t>
            </w:r>
          </w:p>
        </w:tc>
      </w:tr>
      <w:tr>
        <w:tc>
          <w:tcPr/>
          <w:p>
            <w:pPr>
              <w:pStyle w:val="Compact"/>
              <w:jc w:val="left"/>
            </w:pPr>
            <w:r>
              <w:t xml:space="preserve">Months 4-6</w:t>
            </w:r>
          </w:p>
        </w:tc>
        <w:tc>
          <w:tcPr/>
          <w:p>
            <w:pPr>
              <w:pStyle w:val="Compact"/>
              <w:jc w:val="left"/>
            </w:pPr>
            <w:r>
              <w:t xml:space="preserve">Stakeholder workshops, framework prototyping</w:t>
            </w:r>
          </w:p>
        </w:tc>
        <w:tc>
          <w:tcPr/>
          <w:p>
            <w:pPr>
              <w:pStyle w:val="Compact"/>
              <w:jc w:val="left"/>
            </w:pPr>
            <w:r>
              <w:t xml:space="preserve">Incorporate Tehran's "Smart City" initiatives for applied learning scenarios</w:t>
            </w:r>
          </w:p>
        </w:tc>
      </w:tr>
      <w:tr>
        <w:tc>
          <w:tcPr/>
          <w:p>
            <w:pPr>
              <w:pStyle w:val="Compact"/>
              <w:jc w:val="left"/>
            </w:pPr>
            <w:r>
              <w:t xml:space="preserve">Months 7-12</w:t>
            </w:r>
          </w:p>
        </w:tc>
        <w:tc>
          <w:tcPr/>
          <w:p>
            <w:pPr>
              <w:pStyle w:val="Compact"/>
              <w:jc w:val="left"/>
            </w:pPr>
            <w:r>
              <w:t xml:space="preserve">Pilot program launch (3 universities + 5 firms)</w:t>
            </w:r>
          </w:p>
        </w:tc>
        <w:tc>
          <w:tcPr/>
          <w:p>
            <w:pPr>
              <w:pStyle w:val="Compact"/>
              <w:jc w:val="left"/>
            </w:pPr>
            <w:r>
              <w:t xml:space="preserve">Utilize Tehran Science and Technology Park for shared lab facilities</w:t>
            </w:r>
          </w:p>
        </w:tc>
      </w:tr>
    </w:tbl>
    <w:bookmarkEnd w:id="26"/>
    <w:bookmarkStart w:id="27" w:name="conclusion"/>
    <w:p>
      <w:pPr>
        <w:pStyle w:val="Heading2"/>
      </w:pPr>
      <w:r>
        <w:t xml:space="preserve">8. Conclusion</w:t>
      </w:r>
    </w:p>
    <w:p>
      <w:pPr>
        <w:pStyle w:val="FirstParagraph"/>
      </w:pPr>
      <w:r>
        <w:t xml:space="preserve">The demand for a skilled Mechatronics Engineer in</w:t>
      </w:r>
      <w:r>
        <w:t xml:space="preserve"> </w:t>
      </w:r>
      <w:r>
        <w:rPr>
          <w:bCs/>
          <w:b/>
        </w:rPr>
        <w:t xml:space="preserve">Iran Tehran</w:t>
      </w:r>
      <w:r>
        <w:t xml:space="preserve"> </w:t>
      </w:r>
      <w:r>
        <w:t xml:space="preserve">transcends academic interest—it is an economic imperative. This</w:t>
      </w:r>
      <w:r>
        <w:t xml:space="preserve"> </w:t>
      </w:r>
      <w:r>
        <w:rPr>
          <w:bCs/>
          <w:b/>
        </w:rPr>
        <w:t xml:space="preserve">Research Proposal</w:t>
      </w:r>
      <w:r>
        <w:t xml:space="preserve"> </w:t>
      </w:r>
      <w:r>
        <w:t xml:space="preserve">provides a pragmatic, culturally attuned roadmap to transform engineering education into an engine of industrial innovation. By centering our work on Tehran's strategic priorities—self-reliance, technological sovereignty, and sustainable growth—we position Iran to leapfrog into the next era of manufacturing excellence. The proposed framework is not merely academic; it is a catalyst for tangible economic transformation in the heart of Iran's innovation ecosystem. We urge immediate adoption to secure</w:t>
      </w:r>
      <w:r>
        <w:t xml:space="preserve"> </w:t>
      </w:r>
      <w:r>
        <w:rPr>
          <w:bCs/>
          <w:b/>
        </w:rPr>
        <w:t xml:space="preserve">Iran Tehran</w:t>
      </w:r>
      <w:r>
        <w:t xml:space="preserve">'s leadership in mechatronics-driven development.</w:t>
      </w:r>
    </w:p>
    <w:bookmarkEnd w:id="27"/>
    <w:bookmarkStart w:id="28" w:name="references-selected"/>
    <w:p>
      <w:pPr>
        <w:pStyle w:val="Heading2"/>
      </w:pPr>
      <w:r>
        <w:t xml:space="preserve">9. References (Selected)</w:t>
      </w:r>
    </w:p>
    <w:p>
      <w:pPr>
        <w:numPr>
          <w:ilvl w:val="0"/>
          <w:numId w:val="1004"/>
        </w:numPr>
        <w:pStyle w:val="Compact"/>
      </w:pPr>
      <w:r>
        <w:t xml:space="preserve">Iran Ministry of Industry (2023). *National Manufacturing Digitalization Report*. Tehran: Government Publishing House.</w:t>
      </w:r>
    </w:p>
    <w:p>
      <w:pPr>
        <w:numPr>
          <w:ilvl w:val="0"/>
          <w:numId w:val="1004"/>
        </w:numPr>
        <w:pStyle w:val="Compact"/>
      </w:pPr>
      <w:r>
        <w:t xml:space="preserve">Sharif University Engineering Faculty (2022). *Mechatronics Curriculum Benchmarking Study*. Tehran.</w:t>
      </w:r>
    </w:p>
    <w:p>
      <w:pPr>
        <w:numPr>
          <w:ilvl w:val="0"/>
          <w:numId w:val="1004"/>
        </w:numPr>
        <w:pStyle w:val="Compact"/>
      </w:pPr>
      <w:r>
        <w:t xml:space="preserve">Mohammadi, A. &amp; Rezaei, S. (2021). "Industry-Academia Gaps in Iranian Technical Education." *Journal of Engineering Development*, 14(3), 78-92.</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Iran Tehran</dc:title>
  <dc:creator/>
  <dc:language>en</dc:language>
  <cp:keywords/>
  <dcterms:created xsi:type="dcterms:W3CDTF">2026-07-06T17:48:19Z</dcterms:created>
  <dcterms:modified xsi:type="dcterms:W3CDTF">2026-07-06T17:48:19Z</dcterms:modified>
</cp:coreProperties>
</file>

<file path=docProps/custom.xml><?xml version="1.0" encoding="utf-8"?>
<Properties xmlns="http://schemas.openxmlformats.org/officeDocument/2006/custom-properties" xmlns:vt="http://schemas.openxmlformats.org/officeDocument/2006/docPropsVTypes"/>
</file>