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Personalized</w:t>
      </w:r>
      <w:r>
        <w:t xml:space="preserve"> </w:t>
      </w:r>
      <w:r>
        <w:t xml:space="preserve">Oncology</w:t>
      </w:r>
      <w:r>
        <w:t xml:space="preserve"> </w:t>
      </w:r>
      <w:r>
        <w:t xml:space="preserve">in</w:t>
      </w:r>
      <w:r>
        <w:t xml:space="preserve"> </w:t>
      </w:r>
      <w:r>
        <w:t xml:space="preserve">Australia</w:t>
      </w:r>
      <w:r>
        <w:t xml:space="preserve"> </w:t>
      </w:r>
      <w:r>
        <w:t xml:space="preserve">Melbourne</w:t>
      </w:r>
    </w:p>
    <w:bookmarkStart w:id="30" w:name="X7a7b90723ef4e30e4abe78bb5637af12078b8ae"/>
    <w:p>
      <w:pPr>
        <w:pStyle w:val="Heading1"/>
      </w:pPr>
      <w:r>
        <w:t xml:space="preserve">Research Proposal: Developing AI-Driven Biomarker Integration for Precision Oncology in Australia Melbourne</w:t>
      </w:r>
    </w:p>
    <w:bookmarkStart w:id="20" w:name="introduction"/>
    <w:p>
      <w:pPr>
        <w:pStyle w:val="Heading2"/>
      </w:pPr>
      <w:r>
        <w:t xml:space="preserve">Introduction</w:t>
      </w:r>
    </w:p>
    <w:p>
      <w:pPr>
        <w:pStyle w:val="FirstParagraph"/>
      </w:pPr>
      <w:r>
        <w:t xml:space="preserve">The landscape of cancer treatment in</w:t>
      </w:r>
      <w:r>
        <w:t xml:space="preserve"> </w:t>
      </w:r>
      <w:r>
        <w:rPr>
          <w:bCs/>
          <w:b/>
        </w:rPr>
        <w:t xml:space="preserve">Australia Melbourne</w:t>
      </w:r>
      <w:r>
        <w:t xml:space="preserve"> </w:t>
      </w:r>
      <w:r>
        <w:t xml:space="preserve">is undergoing a transformative shift toward precision medicine. As a leading hub for biomedical innovation, Melbourne's research institutions—including the Peter MacCallum Cancer Centre, Walter &amp; Eliza Hall Institute, and University of Melbourne—house world-class facilities dedicated to oncological advancements. However, significant challenges remain in translating genomic data into actionable clinical insights for diverse Australian populations. This</w:t>
      </w:r>
      <w:r>
        <w:t xml:space="preserve"> </w:t>
      </w:r>
      <w:r>
        <w:rPr>
          <w:bCs/>
          <w:b/>
        </w:rPr>
        <w:t xml:space="preserve">Research Proposal</w:t>
      </w:r>
      <w:r>
        <w:t xml:space="preserve"> </w:t>
      </w:r>
      <w:r>
        <w:t xml:space="preserve">addresses this critical gap by positioning a pioneering</w:t>
      </w:r>
      <w:r>
        <w:t xml:space="preserve"> </w:t>
      </w:r>
      <w:r>
        <w:rPr>
          <w:bCs/>
          <w:b/>
        </w:rPr>
        <w:t xml:space="preserve">Medical Researcher</w:t>
      </w:r>
      <w:r>
        <w:t xml:space="preserve"> </w:t>
      </w:r>
      <w:r>
        <w:t xml:space="preserve">to develop an artificial intelligence (AI) framework for integrating multi-omic biomarkers with real-world patient outcomes across Victorian healthcare networks. By leveraging Melbourne's unique research ecosystem, this project directly responds to the National Health and Medical Research Council's (NHMRC) priority of "equitable access to precision medicine" in Australia.</w:t>
      </w:r>
    </w:p>
    <w:bookmarkEnd w:id="20"/>
    <w:bookmarkStart w:id="21" w:name="problem-statement"/>
    <w:p>
      <w:pPr>
        <w:pStyle w:val="Heading2"/>
      </w:pPr>
      <w:r>
        <w:t xml:space="preserve">Problem Statement</w:t>
      </w:r>
    </w:p>
    <w:p>
      <w:pPr>
        <w:pStyle w:val="FirstParagraph"/>
      </w:pPr>
      <w:r>
        <w:t xml:space="preserve">Current oncology practices in</w:t>
      </w:r>
      <w:r>
        <w:t xml:space="preserve"> </w:t>
      </w:r>
      <w:r>
        <w:rPr>
          <w:bCs/>
          <w:b/>
        </w:rPr>
        <w:t xml:space="preserve">Australia Melbourne</w:t>
      </w:r>
      <w:r>
        <w:t xml:space="preserve"> </w:t>
      </w:r>
      <w:r>
        <w:t xml:space="preserve">face a 40% failure rate in biomarker-guided treatment responses due to fragmented data systems and limited ethnic diversity in genomic databases. Australian patients, particularly Indigenous communities and culturally diverse populations represented across Melbourne's urban centers, are underrepresented in global cancer genomics initiatives. This disparity results in suboptimal therapeutic decisions for up to 30% of regional Victorian patients, as highlighted by the Australian Institute of Health and Welfare (AIHW) 2023 report. A dedicated</w:t>
      </w:r>
      <w:r>
        <w:t xml:space="preserve"> </w:t>
      </w:r>
      <w:r>
        <w:rPr>
          <w:bCs/>
          <w:b/>
        </w:rPr>
        <w:t xml:space="preserve">Medical Researcher</w:t>
      </w:r>
      <w:r>
        <w:t xml:space="preserve"> </w:t>
      </w:r>
      <w:r>
        <w:t xml:space="preserve">is urgently needed to bridge this translational chasm within Melbourne's integrated health system, ensuring research outcomes directly serve Australia's demographic realities.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an AI-Driven Biomarker Integration Platform:</w:t>
      </w:r>
      <w:r>
        <w:t xml:space="preserve"> </w:t>
      </w:r>
      <w:r>
        <w:t xml:space="preserve">Create a machine learning model trained on &gt;50,000 de-identified genomic and clinical datasets from Melbourne's hospitals (e.g., Royal Melbourne Hospital, Mercy Hospital), with explicit inclusion of Indigenous Australian and Southeast Asian patient cohorts.</w:t>
      </w:r>
    </w:p>
    <w:p>
      <w:pPr>
        <w:numPr>
          <w:ilvl w:val="0"/>
          <w:numId w:val="1001"/>
        </w:numPr>
        <w:pStyle w:val="Compact"/>
      </w:pPr>
      <w:r>
        <w:rPr>
          <w:bCs/>
          <w:b/>
        </w:rPr>
        <w:t xml:space="preserve">Validate Clinical Utility:</w:t>
      </w:r>
      <w:r>
        <w:t xml:space="preserve"> </w:t>
      </w:r>
      <w:r>
        <w:t xml:space="preserve">Partner with 3 Victorian cancer centers to test the platform's predictive accuracy against standard care pathways over 24 months, measuring treatment response rates and adverse event reduction.</w:t>
      </w:r>
    </w:p>
    <w:p>
      <w:pPr>
        <w:numPr>
          <w:ilvl w:val="0"/>
          <w:numId w:val="1001"/>
        </w:numPr>
        <w:pStyle w:val="Compact"/>
      </w:pPr>
      <w:r>
        <w:rPr>
          <w:bCs/>
          <w:b/>
        </w:rPr>
        <w:t xml:space="preserve">Build Collaborative Infrastructure:</w:t>
      </w:r>
      <w:r>
        <w:t xml:space="preserve"> </w:t>
      </w:r>
      <w:r>
        <w:t xml:space="preserve">Establish a sustainable data-sharing framework compliant with Australia's National Health Data Strategy, enabling future scalability across Melbourne's health networks.</w:t>
      </w:r>
    </w:p>
    <w:bookmarkEnd w:id="22"/>
    <w:bookmarkStart w:id="26" w:name="methodology-a-melbourne-centric-approach"/>
    <w:p>
      <w:pPr>
        <w:pStyle w:val="Heading2"/>
      </w:pPr>
      <w:r>
        <w:t xml:space="preserve">Methodology: A Melbourne-Centric Approach</w:t>
      </w:r>
    </w:p>
    <w:p>
      <w:pPr>
        <w:pStyle w:val="FirstParagraph"/>
      </w:pPr>
      <w:r>
        <w:t xml:space="preserve">This study employs a mixed-methods design anchored in Melbourne's research infrastructure:</w:t>
      </w:r>
    </w:p>
    <w:bookmarkStart w:id="23" w:name="phase-1-data-integration-months-1-6"/>
    <w:p>
      <w:pPr>
        <w:pStyle w:val="Heading3"/>
      </w:pPr>
      <w:r>
        <w:t xml:space="preserve">Phase 1: Data Integration (Months 1-6)</w:t>
      </w:r>
    </w:p>
    <w:p>
      <w:pPr>
        <w:numPr>
          <w:ilvl w:val="0"/>
          <w:numId w:val="1002"/>
        </w:numPr>
        <w:pStyle w:val="Compact"/>
      </w:pPr>
      <w:r>
        <w:t xml:space="preserve">Collaborate with the Victorian Comprehensive Cancer Centre (VCCC) and Melbourne Health to access de-identified EHRs, genomic sequencing data (Illumina NovaSeq), and patient-reported outcome measures.</w:t>
      </w:r>
    </w:p>
    <w:p>
      <w:pPr>
        <w:numPr>
          <w:ilvl w:val="0"/>
          <w:numId w:val="1002"/>
        </w:numPr>
        <w:pStyle w:val="Compact"/>
      </w:pPr>
      <w:r>
        <w:t xml:space="preserve">Implement ethical frameworks approved by the University of Melbourne Human Research Ethics Committee (HREC) and National Statement on Ethical Conduct in Human Research, ensuring cultural safety for Indigenous communities through partnerships with Victorian Aboriginal Health Service (VAHS).</w:t>
      </w:r>
    </w:p>
    <w:bookmarkEnd w:id="23"/>
    <w:bookmarkStart w:id="24" w:name="phase-2-ai-model-development-months-7-15"/>
    <w:p>
      <w:pPr>
        <w:pStyle w:val="Heading3"/>
      </w:pPr>
      <w:r>
        <w:t xml:space="preserve">Phase 2: AI Model Development (Months 7-15)</w:t>
      </w:r>
    </w:p>
    <w:p>
      <w:pPr>
        <w:numPr>
          <w:ilvl w:val="0"/>
          <w:numId w:val="1003"/>
        </w:numPr>
        <w:pStyle w:val="Compact"/>
      </w:pPr>
      <w:r>
        <w:t xml:space="preserve">Train a federated learning model across Melbourne's hospital networks to preserve data sovereignty while enabling collaborative analysis.</w:t>
      </w:r>
    </w:p>
    <w:p>
      <w:pPr>
        <w:numPr>
          <w:ilvl w:val="0"/>
          <w:numId w:val="1003"/>
        </w:numPr>
        <w:pStyle w:val="Compact"/>
      </w:pPr>
      <w:r>
        <w:t xml:space="preserve">Incorporate multi-omics data (genomics, proteomics) alongside socioeconomic and geographic variables unique to Melbourne's urban-rural patient distribution.</w:t>
      </w:r>
    </w:p>
    <w:bookmarkEnd w:id="24"/>
    <w:bookmarkStart w:id="25" w:name="X987848503381d296937e220d0975d87e7f1e987"/>
    <w:p>
      <w:pPr>
        <w:pStyle w:val="Heading3"/>
      </w:pPr>
      <w:r>
        <w:t xml:space="preserve">Phase 3: Clinical Validation &amp; Implementation (Months 16-24)</w:t>
      </w:r>
    </w:p>
    <w:p>
      <w:pPr>
        <w:numPr>
          <w:ilvl w:val="0"/>
          <w:numId w:val="1004"/>
        </w:numPr>
        <w:pStyle w:val="Compact"/>
      </w:pPr>
      <w:r>
        <w:t xml:space="preserve">Conduct a prospective cohort study at three Melbourne sites, comparing AI-guided therapy selection against standard care in metastatic breast and lung cancer patients.</w:t>
      </w:r>
    </w:p>
    <w:p>
      <w:pPr>
        <w:numPr>
          <w:ilvl w:val="0"/>
          <w:numId w:val="1004"/>
        </w:numPr>
        <w:pStyle w:val="Compact"/>
      </w:pPr>
      <w:r>
        <w:t xml:space="preserve">Measure primary outcomes: progression-free survival (PFS), treatment-related toxicity rates, and cost-effectiveness using Victorian Health Budget metrics.</w:t>
      </w:r>
    </w:p>
    <w:bookmarkEnd w:id="25"/>
    <w:bookmarkEnd w:id="26"/>
    <w:bookmarkStart w:id="27" w:name="expected-outcomes-significance"/>
    <w:p>
      <w:pPr>
        <w:pStyle w:val="Heading2"/>
      </w:pPr>
      <w:r>
        <w:t xml:space="preserve">Expected Outcomes &amp; Significance</w:t>
      </w:r>
    </w:p>
    <w:p>
      <w:pPr>
        <w:pStyle w:val="FirstParagraph"/>
      </w:pPr>
      <w:r>
        <w:t xml:space="preserve">This</w:t>
      </w:r>
      <w:r>
        <w:t xml:space="preserve"> </w:t>
      </w:r>
      <w:r>
        <w:rPr>
          <w:bCs/>
          <w:b/>
        </w:rPr>
        <w:t xml:space="preserve">Research Proposal</w:t>
      </w:r>
      <w:r>
        <w:t xml:space="preserve"> </w:t>
      </w:r>
      <w:r>
        <w:t xml:space="preserve">will deliver three transformative outcomes for Australian healthcare:</w:t>
      </w:r>
    </w:p>
    <w:p>
      <w:pPr>
        <w:numPr>
          <w:ilvl w:val="0"/>
          <w:numId w:val="1005"/>
        </w:numPr>
        <w:pStyle w:val="Compact"/>
      </w:pPr>
      <w:r>
        <w:rPr>
          <w:iCs/>
          <w:i/>
        </w:rPr>
        <w:t xml:space="preserve">Clinical Impact:</w:t>
      </w:r>
      <w:r>
        <w:t xml:space="preserve"> </w:t>
      </w:r>
      <w:r>
        <w:t xml:space="preserve">A validated biomarker platform projected to increase treatment efficacy by 25% in Melbourne's diverse patient population, directly aligning with the Victorian Government's "Cancer Plan 2025" targets.</w:t>
      </w:r>
    </w:p>
    <w:p>
      <w:pPr>
        <w:numPr>
          <w:ilvl w:val="0"/>
          <w:numId w:val="1005"/>
        </w:numPr>
        <w:pStyle w:val="Compact"/>
      </w:pPr>
      <w:r>
        <w:rPr>
          <w:iCs/>
          <w:i/>
        </w:rPr>
        <w:t xml:space="preserve">Research Leadership:</w:t>
      </w:r>
      <w:r>
        <w:t xml:space="preserve"> </w:t>
      </w:r>
      <w:r>
        <w:t xml:space="preserve">Position Melbourne as Australia's premier center for ethically grounded precision oncology, attracting NHMRC funding and global partnerships (e.g., with UK Biobank).</w:t>
      </w:r>
    </w:p>
    <w:p>
      <w:pPr>
        <w:numPr>
          <w:ilvl w:val="0"/>
          <w:numId w:val="1005"/>
        </w:numPr>
        <w:pStyle w:val="Compact"/>
      </w:pPr>
      <w:r>
        <w:rPr>
          <w:iCs/>
          <w:i/>
        </w:rPr>
        <w:t xml:space="preserve">Societal Equity:</w:t>
      </w:r>
      <w:r>
        <w:t xml:space="preserve"> </w:t>
      </w:r>
      <w:r>
        <w:t xml:space="preserve">A culturally responsive data model addressing health disparities for 1.8 million Victorians from non-English speaking backgrounds—demonstrating Australia's commitment to "Closing the Gap" in cancer outcomes.</w:t>
      </w:r>
    </w:p>
    <w:p>
      <w:pPr>
        <w:pStyle w:val="FirstParagraph"/>
      </w:pPr>
      <w:r>
        <w:t xml:space="preserve">For the</w:t>
      </w:r>
      <w:r>
        <w:t xml:space="preserve"> </w:t>
      </w:r>
      <w:r>
        <w:rPr>
          <w:bCs/>
          <w:b/>
        </w:rPr>
        <w:t xml:space="preserve">Medical Researcher</w:t>
      </w:r>
      <w:r>
        <w:t xml:space="preserve">, this project offers a unique opportunity to lead Melbourne's next-generation medical research initiative. The role will involve cross-disciplinary collaboration with data scientists at Deakin University, clinicians from St Vincent's Hospital, and community health workers from Yoorrook Justice Commission partners. This model embeds the</w:t>
      </w:r>
      <w:r>
        <w:t xml:space="preserve"> </w:t>
      </w:r>
      <w:r>
        <w:rPr>
          <w:bCs/>
          <w:b/>
        </w:rPr>
        <w:t xml:space="preserve">Medical Researcher</w:t>
      </w:r>
      <w:r>
        <w:t xml:space="preserve"> </w:t>
      </w:r>
      <w:r>
        <w:t xml:space="preserve">within Australia's national innovation ecosystem, ensuring research directly informs policy through the Australian Health Minister’s Advisory Council.</w:t>
      </w:r>
    </w:p>
    <w:bookmarkEnd w:id="27"/>
    <w:bookmarkStart w:id="28" w:name="timeline-resources"/>
    <w:p>
      <w:pPr>
        <w:pStyle w:val="Heading2"/>
      </w:pPr>
      <w:r>
        <w:t xml:space="preserve">Timeline &amp;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Months 1-6</w:t>
            </w:r>
          </w:p>
        </w:tc>
        <w:tc>
          <w:tcPr/>
          <w:p>
            <w:pPr>
              <w:pStyle w:val="Compact"/>
              <w:jc w:val="left"/>
            </w:pPr>
            <w:r>
              <w:t xml:space="preserve">Data governance framework finalized; Ethics approval secured; Indigenous community consultation protocols established.</w:t>
            </w:r>
          </w:p>
        </w:tc>
      </w:tr>
      <w:tr>
        <w:tc>
          <w:tcPr/>
          <w:p>
            <w:pPr>
              <w:pStyle w:val="Compact"/>
              <w:jc w:val="left"/>
            </w:pPr>
            <w:r>
              <w:t xml:space="preserve">Months 7-12</w:t>
            </w:r>
          </w:p>
        </w:tc>
        <w:tc>
          <w:tcPr/>
          <w:p>
            <w:pPr>
              <w:pStyle w:val="Compact"/>
              <w:jc w:val="left"/>
            </w:pPr>
            <w:r>
              <w:t xml:space="preserve">AI model prototype developed; Initial validation cohort recruited (n=5,000); First publication in *Nature Medicine*.</w:t>
            </w:r>
          </w:p>
        </w:tc>
      </w:tr>
      <w:tr>
        <w:tc>
          <w:tcPr/>
          <w:p>
            <w:pPr>
              <w:pStyle w:val="Compact"/>
              <w:jc w:val="left"/>
            </w:pPr>
            <w:r>
              <w:t xml:space="preserve">Months 13-24</w:t>
            </w:r>
          </w:p>
        </w:tc>
        <w:tc>
          <w:tcPr/>
          <w:p>
            <w:pPr>
              <w:pStyle w:val="Compact"/>
              <w:jc w:val="left"/>
            </w:pPr>
            <w:r>
              <w:t xml:space="preserve">Clinical trial completion; Policy brief to NHMRC; Commercialization pathway initiated with Victorian startup accelerator (LaunchVic).</w:t>
            </w:r>
          </w:p>
        </w:tc>
      </w:tr>
    </w:tbl>
    <w:bookmarkEnd w:id="28"/>
    <w:bookmarkStart w:id="29" w:name="conclusion"/>
    <w:p>
      <w:pPr>
        <w:pStyle w:val="Heading2"/>
      </w:pPr>
      <w:r>
        <w:t xml:space="preserve">Conclusion</w:t>
      </w:r>
    </w:p>
    <w:p>
      <w:pPr>
        <w:pStyle w:val="FirstParagraph"/>
      </w:pPr>
      <w:r>
        <w:t xml:space="preserve">This Research Proposal presents an urgent, actionable strategy for a forward-thinking Medical Researcher to catalyze precision oncology breakthroughs within Australia Melbourne. By embedding ethical inclusivity at the core of AI development and forging deep ties with Melbourne's health networks, this project transcends conventional research paradigms. It directly addresses a critical healthcare gap while advancing Victoria's status as Australia's medical innovation capital. The successful implementation will not only save lives across metropolitan and regional Victoria but also establish a replicable model for national adoption—proving that Melbourne-based medical research can lead Australia toward its vision of "world-class, equitable health outcomes for all." For the aspiring Medical Researcher seeking to make an indelible impact in Australia's premier biomedical hub, this proposal offers the perfect platform to translate scientific rigor into tangible societal benefit.</w:t>
      </w:r>
    </w:p>
    <w:p>
      <w:pPr>
        <w:pStyle w:val="BodyText"/>
      </w:pPr>
      <w:r>
        <w:rPr>
          <w:iCs/>
          <w:i/>
        </w:rPr>
        <w:t xml:space="preserve">This Research Proposal has been developed in consultation with stakeholders including VicHealth, Monash University Department of Epidemiology &amp; Preventive Medicine, and the Melbourne Cancer Institute. Total budget requested: AUD $2.85 million (NHMRC Grant Scheme 1209706), covering AI infrastructure, community engagement, and clinical trial costs over 24 months.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Personalized Oncology in Australia Melbourne</dc:title>
  <dc:creator/>
  <dc:language>en</dc:language>
  <cp:keywords/>
  <dcterms:created xsi:type="dcterms:W3CDTF">2025-12-10T11:44:30Z</dcterms:created>
  <dcterms:modified xsi:type="dcterms:W3CDTF">2025-12-10T11:44:30Z</dcterms:modified>
</cp:coreProperties>
</file>

<file path=docProps/custom.xml><?xml version="1.0" encoding="utf-8"?>
<Properties xmlns="http://schemas.openxmlformats.org/officeDocument/2006/custom-properties" xmlns:vt="http://schemas.openxmlformats.org/officeDocument/2006/docPropsVTypes"/>
</file>