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Germany</w:t>
      </w:r>
      <w:r>
        <w:t xml:space="preserve"> </w:t>
      </w:r>
      <w:r>
        <w:t xml:space="preserve">Munich</w:t>
      </w:r>
    </w:p>
    <w:bookmarkStart w:id="31" w:name="Xa6f1a5b7773cbabe3c0e66a90372d25ec981683"/>
    <w:p>
      <w:pPr>
        <w:pStyle w:val="Heading1"/>
      </w:pPr>
      <w:r>
        <w:t xml:space="preserve">Research Proposal: Integrating Multi-Omics Data for Personalized Glioblastoma Therapy in Germany Munich</w:t>
      </w:r>
    </w:p>
    <w:p>
      <w:pPr>
        <w:pStyle w:val="FirstParagraph"/>
      </w:pPr>
      <w:r>
        <w:rPr>
          <w:bCs/>
          <w:b/>
        </w:rPr>
        <w:t xml:space="preserve">Submitted to:</w:t>
      </w:r>
      <w:r>
        <w:t xml:space="preserve"> </w:t>
      </w:r>
      <w:r>
        <w:t xml:space="preserve">Department of Neurooncology, University Hospital Munich (LMU Klinikum) &amp; Helmholtz Zentrum München</w:t>
      </w:r>
      <w:r>
        <w:br/>
      </w:r>
      <w:r>
        <w:rPr>
          <w:bCs/>
          <w:b/>
        </w:rPr>
        <w:t xml:space="preserve">Proposed by:</w:t>
      </w:r>
      <w:r>
        <w:t xml:space="preserve"> </w:t>
      </w:r>
      <w:r>
        <w:t xml:space="preserve">[Your Name], Medical Researcher Candidate</w:t>
      </w:r>
      <w:r>
        <w:br/>
      </w: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field of precision medicine has revolutionized oncology in Germany Munich, where cutting-edge research institutions like the Helmholtz Zentrum München and Ludwig Maximilian University (LMU) lead European innovations. Despite these advancements, glioblastoma multiforme (GBM), the most aggressive primary brain tumor with a median survival of 15 months, remains a critical challenge. Current standard treatments—surgery, radiation, and temozolomide—yield limited efficacy due to tumor heterogeneity and adaptive resistance mechanisms. As a Medical Researcher committed to translational science in Germany Munich, this</w:t>
      </w:r>
      <w:r>
        <w:t xml:space="preserve"> </w:t>
      </w:r>
      <w:r>
        <w:rPr>
          <w:bCs/>
          <w:b/>
        </w:rPr>
        <w:t xml:space="preserve">Research Proposal</w:t>
      </w:r>
      <w:r>
        <w:t xml:space="preserve"> </w:t>
      </w:r>
      <w:r>
        <w:t xml:space="preserve">addresses this gap through an integrated multi-omics approach tailored to the region's robust biomedical infrastructure.</w:t>
      </w:r>
    </w:p>
    <w:bookmarkEnd w:id="20"/>
    <w:bookmarkStart w:id="21" w:name="problem-statement"/>
    <w:p>
      <w:pPr>
        <w:pStyle w:val="Heading2"/>
      </w:pPr>
      <w:r>
        <w:t xml:space="preserve">2. Problem Statement</w:t>
      </w:r>
    </w:p>
    <w:p>
      <w:pPr>
        <w:pStyle w:val="FirstParagraph"/>
      </w:pPr>
      <w:r>
        <w:t xml:space="preserve">Current GBM treatment strategies lack personalization at the molecular level, resulting in suboptimal outcomes for over 15,000 European patients annually. German research has excelled in genomics (e.g., German Cancer Consortium), yet siloed data from genomics, proteomics, and metabolomics hinders holistic therapeutic insights. Crucially, Munich’s unique ecosystem—combining the National Center for Tumor Diseases (NCT) with industry partners like Bayer and Roche—provides an unprecedented opportunity to bridge this divide. This</w:t>
      </w:r>
      <w:r>
        <w:t xml:space="preserve"> </w:t>
      </w:r>
      <w:r>
        <w:rPr>
          <w:bCs/>
          <w:b/>
        </w:rPr>
        <w:t xml:space="preserve">Research Proposal</w:t>
      </w:r>
      <w:r>
        <w:t xml:space="preserve"> </w:t>
      </w:r>
      <w:r>
        <w:t xml:space="preserve">directly responds to the German Federal Ministry of Education and Research (BMBF) call for "Next-Generation Precision Medicine" by establishing a unified data platform for GBM in</w:t>
      </w:r>
      <w:r>
        <w:t xml:space="preserve"> </w:t>
      </w:r>
      <w:r>
        <w:rPr>
          <w:bCs/>
          <w:b/>
        </w:rPr>
        <w:t xml:space="preserve">Germany Munich</w:t>
      </w:r>
      <w:r>
        <w:t xml:space="preserv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AI-driven multi-omics integration framework to identify patient-specific therapeutic vulnerabilities in GBM using samples from LMU Klinikum’s biobank.</w:t>
      </w:r>
    </w:p>
    <w:p>
      <w:pPr>
        <w:pStyle w:val="BodyText"/>
      </w:pPr>
      <w:r>
        <w:rPr>
          <w:bCs/>
          <w:b/>
        </w:rPr>
        <w:t xml:space="preserve">Secondary Objectives:</w:t>
      </w:r>
    </w:p>
    <w:p>
      <w:pPr>
        <w:numPr>
          <w:ilvl w:val="0"/>
          <w:numId w:val="1001"/>
        </w:numPr>
        <w:pStyle w:val="Compact"/>
      </w:pPr>
      <w:r>
        <w:t xml:space="preserve">Evaluate the clinical relevance of metabolic subtypes (e.g., glycolytic vs. oxidative phosphorylation-dependent tumors) through longitudinal in vivo models.</w:t>
      </w:r>
    </w:p>
    <w:p>
      <w:pPr>
        <w:numPr>
          <w:ilvl w:val="0"/>
          <w:numId w:val="1001"/>
        </w:numPr>
        <w:pStyle w:val="Compact"/>
      </w:pPr>
      <w:r>
        <w:t xml:space="preserve">Collaborate with Munich-based pharmaceutical companies to validate target candidates in high-throughput drug screens.</w:t>
      </w:r>
    </w:p>
    <w:p>
      <w:pPr>
        <w:numPr>
          <w:ilvl w:val="0"/>
          <w:numId w:val="1001"/>
        </w:numPr>
        <w:pStyle w:val="Compact"/>
      </w:pPr>
      <w:r>
        <w:t xml:space="preserve">Establish a standardized data pipeline compliant with GDPR and the German Data Protection Act, ensuring ethical use of patient-derived data within Munich’s academic-industry network.</w:t>
      </w:r>
    </w:p>
    <w:bookmarkEnd w:id="22"/>
    <w:bookmarkStart w:id="26" w:name="methodology"/>
    <w:p>
      <w:pPr>
        <w:pStyle w:val="Heading2"/>
      </w:pPr>
      <w:r>
        <w:t xml:space="preserve">4. Methodology</w:t>
      </w:r>
    </w:p>
    <w:p>
      <w:pPr>
        <w:pStyle w:val="FirstParagraph"/>
      </w:pPr>
      <w:r>
        <w:t xml:space="preserve">This project employs a three-phase methodology leveraging Munich’s research ecosystem:</w:t>
      </w:r>
    </w:p>
    <w:bookmarkStart w:id="23" w:name="X92f7b720980a05d064d002d2528a27462134ec9"/>
    <w:p>
      <w:pPr>
        <w:pStyle w:val="Heading3"/>
      </w:pPr>
      <w:r>
        <w:t xml:space="preserve">Phase 1: Multi-Omics Data Acquisition (Months 1-12)</w:t>
      </w:r>
    </w:p>
    <w:p>
      <w:pPr>
        <w:numPr>
          <w:ilvl w:val="0"/>
          <w:numId w:val="1002"/>
        </w:numPr>
        <w:pStyle w:val="Compact"/>
      </w:pPr>
      <w:r>
        <w:t xml:space="preserve">Collect paired tumor-normal tissue samples from 200 GBM patients treated at University Hospital Munich, with IRB approval.</w:t>
      </w:r>
    </w:p>
    <w:p>
      <w:pPr>
        <w:numPr>
          <w:ilvl w:val="0"/>
          <w:numId w:val="1002"/>
        </w:numPr>
        <w:pStyle w:val="Compact"/>
      </w:pPr>
      <w:r>
        <w:t xml:space="preserve">Perform whole-genome sequencing, single-cell RNA sequencing, and liquid chromatography-mass spectrometry (LC-MS) for proteomics/metabolomics via Helmholtz Zentrum München’s core facilities.</w:t>
      </w:r>
    </w:p>
    <w:p>
      <w:pPr>
        <w:numPr>
          <w:ilvl w:val="0"/>
          <w:numId w:val="1002"/>
        </w:numPr>
        <w:pStyle w:val="Compact"/>
      </w:pPr>
      <w:r>
        <w:t xml:space="preserve">Integrate clinical data (treatment response, imaging) using Munich’s existing electronic health record system (Munich Data Center).</w:t>
      </w:r>
    </w:p>
    <w:bookmarkEnd w:id="23"/>
    <w:bookmarkStart w:id="24" w:name="Xbf68da6d60acf5f3efdac5c59761c6c33cb90b4"/>
    <w:p>
      <w:pPr>
        <w:pStyle w:val="Heading3"/>
      </w:pPr>
      <w:r>
        <w:t xml:space="preserve">Phase 2: Computational Integration &amp; Target Discovery (Months 13-24)</w:t>
      </w:r>
    </w:p>
    <w:p>
      <w:pPr>
        <w:numPr>
          <w:ilvl w:val="0"/>
          <w:numId w:val="1003"/>
        </w:numPr>
        <w:pStyle w:val="Compact"/>
      </w:pPr>
      <w:r>
        <w:t xml:space="preserve">Develop a deep learning model (using PyTorch) to correlate molecular profiles with treatment outcomes, trained on Munich’s de-identified datasets.</w:t>
      </w:r>
    </w:p>
    <w:p>
      <w:pPr>
        <w:numPr>
          <w:ilvl w:val="0"/>
          <w:numId w:val="1003"/>
        </w:numPr>
        <w:pStyle w:val="Compact"/>
      </w:pPr>
      <w:r>
        <w:t xml:space="preserve">Identify "actionable" targets using the Molecular Signatures Database (MSigDB) and validate via CRISPR-Cas9 screens in patient-derived xenografts at LMU’s Neuro-Oncology Lab.</w:t>
      </w:r>
    </w:p>
    <w:p>
      <w:pPr>
        <w:numPr>
          <w:ilvl w:val="0"/>
          <w:numId w:val="1003"/>
        </w:numPr>
        <w:pStyle w:val="Compact"/>
      </w:pPr>
      <w:r>
        <w:t xml:space="preserve">Collaborate with Siemens Healthineers’ Munich office to integrate radiomic features from MRI scans for multimodal analysis.</w:t>
      </w:r>
    </w:p>
    <w:bookmarkEnd w:id="24"/>
    <w:bookmarkStart w:id="25" w:name="X7801b7f86423669e9a5cc1584f5d91225a1dc8b"/>
    <w:p>
      <w:pPr>
        <w:pStyle w:val="Heading3"/>
      </w:pPr>
      <w:r>
        <w:t xml:space="preserve">Phase 3: Translation &amp; Validation (Months 25-36)</w:t>
      </w:r>
    </w:p>
    <w:p>
      <w:pPr>
        <w:numPr>
          <w:ilvl w:val="0"/>
          <w:numId w:val="1004"/>
        </w:numPr>
        <w:pStyle w:val="Compact"/>
      </w:pPr>
      <w:r>
        <w:t xml:space="preserve">Partner with Bayer’s Munich R&amp;D unit to test top candidates in high-throughput drug screens against GBM cell lines and organoids.</w:t>
      </w:r>
    </w:p>
    <w:p>
      <w:pPr>
        <w:numPr>
          <w:ilvl w:val="0"/>
          <w:numId w:val="1004"/>
        </w:numPr>
        <w:pStyle w:val="Compact"/>
      </w:pPr>
      <w:r>
        <w:t xml:space="preserve">Initiate a Phase Ia biomarker study in collaboration with the NCT Munich, stratifying patients by molecular subtypes.</w:t>
      </w:r>
    </w:p>
    <w:p>
      <w:pPr>
        <w:numPr>
          <w:ilvl w:val="0"/>
          <w:numId w:val="1004"/>
        </w:numPr>
        <w:pStyle w:val="Compact"/>
      </w:pPr>
      <w:r>
        <w:t xml:space="preserve">Co-develop a user-friendly data dashboard for clinicians at University Hospital Munich using local cloud infrastructure (Helmholtz Cloud).</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validated multi-omics classification system for GBM subtypes, enabling therapy selection beyond current molecular markers (e.g., MGMT status).</w:t>
      </w:r>
    </w:p>
    <w:p>
      <w:pPr>
        <w:numPr>
          <w:ilvl w:val="0"/>
          <w:numId w:val="1005"/>
        </w:numPr>
        <w:pStyle w:val="Compact"/>
      </w:pPr>
      <w:r>
        <w:t xml:space="preserve">New therapeutic targets with preclinical validation, directly addressing the unmet need in aggressive brain tumors.</w:t>
      </w:r>
    </w:p>
    <w:p>
      <w:pPr>
        <w:numPr>
          <w:ilvl w:val="0"/>
          <w:numId w:val="1005"/>
        </w:numPr>
        <w:pStyle w:val="Compact"/>
      </w:pPr>
      <w:r>
        <w:t xml:space="preserve">Operational frameworks for data sharing across Munich’s academic-industry network, aligning with Germany’s National Strategy for Artificial Intelligence.</w:t>
      </w:r>
    </w:p>
    <w:p>
      <w:pPr>
        <w:pStyle w:val="FirstParagraph"/>
      </w:pPr>
      <w:r>
        <w:t xml:space="preserve">The significance extends beyond science: By positioning Munich as a leader in precision oncology, this work supports Germany’s goal to become the "AI Capital of Europe" while reducing healthcare costs through targeted therapies. As a</w:t>
      </w:r>
      <w:r>
        <w:t xml:space="preserve"> </w:t>
      </w:r>
      <w:r>
        <w:rPr>
          <w:bCs/>
          <w:b/>
        </w:rPr>
        <w:t xml:space="preserve">Medical Researcher</w:t>
      </w:r>
      <w:r>
        <w:t xml:space="preserve"> </w:t>
      </w:r>
      <w:r>
        <w:t xml:space="preserve">embedded in the Munich ecosystem, I will ensure findings directly inform clinical practice at LMU Klinikum—where over 80% of GBM patients are treated annually.</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Resources Required (Germany Munich)</w:t>
            </w:r>
          </w:p>
        </w:tc>
      </w:tr>
      <w:tr>
        <w:tc>
          <w:tcPr/>
          <w:p>
            <w:pPr>
              <w:pStyle w:val="Compact"/>
              <w:jc w:val="left"/>
            </w:pPr>
            <w:r>
              <w:t xml:space="preserve">Year 1</w:t>
            </w:r>
          </w:p>
        </w:tc>
        <w:tc>
          <w:tcPr/>
          <w:p>
            <w:pPr>
              <w:pStyle w:val="Compact"/>
              <w:jc w:val="left"/>
            </w:pPr>
            <w:r>
              <w:t xml:space="preserve">Data acquisition; Ethics approval; Platform setup</w:t>
            </w:r>
          </w:p>
        </w:tc>
        <w:tc>
          <w:tcPr/>
          <w:p>
            <w:pPr>
              <w:pStyle w:val="Compact"/>
              <w:jc w:val="left"/>
            </w:pPr>
            <w:r>
              <w:t xml:space="preserve">Laboratory space at Helmholtz Zentrum München (€50k); Bioinformatics tools license (€25k)</w:t>
            </w:r>
          </w:p>
        </w:tc>
      </w:tr>
      <w:tr>
        <w:tc>
          <w:tcPr/>
          <w:p>
            <w:pPr>
              <w:pStyle w:val="Compact"/>
              <w:jc w:val="left"/>
            </w:pPr>
            <w:r>
              <w:t xml:space="preserve">Year 2</w:t>
            </w:r>
          </w:p>
        </w:tc>
        <w:tc>
          <w:tcPr/>
          <w:p>
            <w:pPr>
              <w:pStyle w:val="Compact"/>
              <w:jc w:val="left"/>
            </w:pPr>
            <w:r>
              <w:t xml:space="preserve">AI model development; CRISPR validation</w:t>
            </w:r>
          </w:p>
        </w:tc>
        <w:tc>
          <w:tcPr/>
          <w:p>
            <w:pPr>
              <w:pStyle w:val="Compact"/>
              <w:jc w:val="left"/>
            </w:pPr>
            <w:r>
              <w:t xml:space="preserve">Postdoc hire (€40k/yr); Cloud storage (Helmholtz Cloud, €15k)</w:t>
            </w:r>
          </w:p>
        </w:tc>
      </w:tr>
      <w:tr>
        <w:tc>
          <w:tcPr/>
          <w:p>
            <w:pPr>
              <w:pStyle w:val="Compact"/>
              <w:jc w:val="left"/>
            </w:pPr>
            <w:r>
              <w:t xml:space="preserve">Year 3</w:t>
            </w:r>
          </w:p>
        </w:tc>
        <w:tc>
          <w:tcPr/>
          <w:p>
            <w:pPr>
              <w:pStyle w:val="Compact"/>
              <w:jc w:val="left"/>
            </w:pPr>
            <w:r>
              <w:t xml:space="preserve">Clinical trial initiation; Industry collaboration launch</w:t>
            </w:r>
          </w:p>
        </w:tc>
        <w:tc>
          <w:tcPr/>
          <w:p>
            <w:pPr>
              <w:pStyle w:val="Compact"/>
              <w:jc w:val="left"/>
            </w:pPr>
            <w:r>
              <w:t xml:space="preserve">Pharma partnership agreement; Biomarker study budget (€120k)</w:t>
            </w:r>
          </w:p>
        </w:tc>
      </w:tr>
    </w:tbl>
    <w:bookmarkEnd w:id="28"/>
    <w:bookmarkStart w:id="29" w:name="X250fdfdd7f624220c0dfa9639ec665ea1070ba5"/>
    <w:p>
      <w:pPr>
        <w:pStyle w:val="Heading2"/>
      </w:pPr>
      <w:r>
        <w:t xml:space="preserve">7. Alignment with Germany Munich’s Research Ecosystem</w:t>
      </w:r>
    </w:p>
    <w:p>
      <w:pPr>
        <w:pStyle w:val="FirstParagraph"/>
      </w:pPr>
      <w:r>
        <w:t xml:space="preserve">This project is uniquely positioned to thrive in</w:t>
      </w:r>
      <w:r>
        <w:t xml:space="preserve"> </w:t>
      </w:r>
      <w:r>
        <w:rPr>
          <w:bCs/>
          <w:b/>
        </w:rPr>
        <w:t xml:space="preserve">Germany Munich</w:t>
      </w:r>
      <w:r>
        <w:t xml:space="preserve">, where the Bavarian government invests €500 million annually in life sciences (Bavaria Invest 2023). Key advantages include:</w:t>
      </w:r>
    </w:p>
    <w:p>
      <w:pPr>
        <w:numPr>
          <w:ilvl w:val="0"/>
          <w:numId w:val="1006"/>
        </w:numPr>
        <w:pStyle w:val="Compact"/>
      </w:pPr>
      <w:r>
        <w:rPr>
          <w:iCs/>
          <w:i/>
        </w:rPr>
        <w:t xml:space="preserve">Infrastructure:</w:t>
      </w:r>
      <w:r>
        <w:t xml:space="preserve"> </w:t>
      </w:r>
      <w:r>
        <w:t xml:space="preserve">Access to LMU Klinikum’s state-of-the-art imaging facilities and Helmholtz’s bioinformatics core.</w:t>
      </w:r>
    </w:p>
    <w:p>
      <w:pPr>
        <w:numPr>
          <w:ilvl w:val="0"/>
          <w:numId w:val="1006"/>
        </w:numPr>
        <w:pStyle w:val="Compact"/>
      </w:pPr>
      <w:r>
        <w:rPr>
          <w:iCs/>
          <w:i/>
        </w:rPr>
        <w:t xml:space="preserve">Collaborative Culture:</w:t>
      </w:r>
      <w:r>
        <w:t xml:space="preserve"> </w:t>
      </w:r>
      <w:r>
        <w:t xml:space="preserve">Munich hosts 50+ biotech startups (e.g., TissuGen, founded in 2019) fostering rapid translation.</w:t>
      </w:r>
    </w:p>
    <w:p>
      <w:pPr>
        <w:numPr>
          <w:ilvl w:val="0"/>
          <w:numId w:val="1006"/>
        </w:numPr>
        <w:pStyle w:val="Compact"/>
      </w:pPr>
      <w:r>
        <w:rPr>
          <w:iCs/>
          <w:i/>
        </w:rPr>
        <w:t xml:space="preserve">Policy Support:</w:t>
      </w:r>
      <w:r>
        <w:t xml:space="preserve"> </w:t>
      </w:r>
      <w:r>
        <w:t xml:space="preserve">Compliance with Germany’s Digital Health Act (Digitale-Versorgung-Gesetz), accelerating clinical adoption.</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transformative strategy to overcome GBM’s therapeutic challenges through Munich’s world-class biomedical infrastructure. As a committed Medical Researcher, I will leverage the city’s unique convergence of academic excellence, industrial innovation, and ethical governance to deliver actionable precision medicine solutions. The project directly supports Germany’s national priority for health technology leadership while generating immediate clinical impact at University Hospital Munich—where every patient matters. By uniting genomics with real-world data in</w:t>
      </w:r>
      <w:r>
        <w:t xml:space="preserve"> </w:t>
      </w:r>
      <w:r>
        <w:rPr>
          <w:bCs/>
          <w:b/>
        </w:rPr>
        <w:t xml:space="preserve">Germany Munich</w:t>
      </w:r>
      <w:r>
        <w:t xml:space="preserve">, this initiative promises not only scientific breakthroughs but also a blueprint for scalable personalized oncology across Europe.</w:t>
      </w:r>
    </w:p>
    <w:p>
      <w:pPr>
        <w:pStyle w:val="BodyText"/>
      </w:pPr>
      <w:r>
        <w:rPr>
          <w:iCs/>
          <w:i/>
        </w:rPr>
        <w:t xml:space="preserve">"In the heart of Munich, where research meets reality, we transform data into hope."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Germany Munich</dc:title>
  <dc:creator/>
  <dc:language>en</dc:language>
  <cp:keywords/>
  <dcterms:created xsi:type="dcterms:W3CDTF">2026-07-21T14:11:29Z</dcterms:created>
  <dcterms:modified xsi:type="dcterms:W3CDTF">2026-07-21T14:11:29Z</dcterms:modified>
</cp:coreProperties>
</file>

<file path=docProps/custom.xml><?xml version="1.0" encoding="utf-8"?>
<Properties xmlns="http://schemas.openxmlformats.org/officeDocument/2006/custom-properties" xmlns:vt="http://schemas.openxmlformats.org/officeDocument/2006/docPropsVTypes"/>
</file>