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Tokyo,</w:t>
      </w:r>
      <w:r>
        <w:t xml:space="preserve"> </w:t>
      </w:r>
      <w:r>
        <w:t xml:space="preserve">Japan</w:t>
      </w:r>
    </w:p>
    <w:bookmarkStart w:id="28" w:name="X2bc4a5dfe8b76e7ed36fdf897ca4e54c4d146b5"/>
    <w:p>
      <w:pPr>
        <w:pStyle w:val="Heading1"/>
      </w:pPr>
      <w:r>
        <w:t xml:space="preserve">Research Proposal: Developing AI-Integrated Diagnostic Frameworks for Geriatric Oncology in Tokyo, Japan</w:t>
      </w:r>
    </w:p>
    <w:bookmarkStart w:id="20" w:name="abstract"/>
    <w:p>
      <w:pPr>
        <w:pStyle w:val="Heading2"/>
      </w:pPr>
      <w:r>
        <w:t xml:space="preserve">Abstract</w:t>
      </w:r>
    </w:p>
    <w:p>
      <w:pPr>
        <w:pStyle w:val="FirstParagraph"/>
      </w:pPr>
      <w:r>
        <w:t xml:space="preserve">This proposal outlines a 36-month research initiative to develop an artificial intelligence (AI)-driven diagnostic framework tailored to the unique epidemiological and healthcare challenges of aging populations in Tokyo, Japan. The project will be led by a dedicated Medical Researcher specializing in computational oncology and geriatric medicine, collaborating with Tokyo University Hospital, RIKEN Center for Biosystems Dynamics Research, and the National Center for Geriatrics and Gerontology (NCGG). With Japan's super-aged society projected to reach 38% of its population by 2060 (National Institute of Population and Social Security Research, 2023), this research directly addresses Tokyo’s critical need for scalable, precision-based cancer diagnostics. The Medical Researcher will spearhead the integration of multi-omics data with clinical records from Tokyo's urban healthcare ecosystem to create a predictive model reducing diagnostic delays by 40% while optimizing treatment personalization for elderly patients.</w:t>
      </w:r>
    </w:p>
    <w:bookmarkEnd w:id="20"/>
    <w:bookmarkStart w:id="21" w:name="Xa309b6f1188be8e37d158e6a59f9eee38a2dab5"/>
    <w:p>
      <w:pPr>
        <w:pStyle w:val="Heading2"/>
      </w:pPr>
      <w:r>
        <w:t xml:space="preserve">1. Introduction and Context: Japan Tokyo's Critical Need</w:t>
      </w:r>
    </w:p>
    <w:p>
      <w:pPr>
        <w:pStyle w:val="FirstParagraph"/>
      </w:pPr>
      <w:r>
        <w:t xml:space="preserve">Japan, particularly Tokyo, faces an unprecedented demographic shift. As the world’s most aged society (29% aged 65+ in 2023), Tokyo’s healthcare infrastructure is strained by rising geriatric cancer incidence—a 17% annual increase since 2015 (Ministry of Health, Labour and Welfare). Current diagnostic protocols rely heavily on standardized Western models, which fail to account for Japan’s unique genetic predispositions (e.g., higher rates of gastric cancer with specific HER2 mutations), lifestyle factors, and the Tokyo-specific healthcare delivery system. This gap necessitates locally validated research. The proposed project positions a Medical Researcher as the central architect to bridge this divide, leveraging Tokyo’s world-class medical data infrastructure and Japan’s national "Society 5.0" initiative prioritizing AI in healthcare (MEXT Strategic Program, 2022). Without such targeted innovation, Tokyo hospitals face escalating costs—estimated at ¥1.8 trillion annually for delayed cancer diagnoses—and worsening patient outcomes.</w:t>
      </w:r>
    </w:p>
    <w:bookmarkEnd w:id="21"/>
    <w:bookmarkStart w:id="22" w:name="research-objectives-and-methodology"/>
    <w:p>
      <w:pPr>
        <w:pStyle w:val="Heading2"/>
      </w:pPr>
      <w:r>
        <w:t xml:space="preserve">2. Research Objectives and Methodology</w:t>
      </w:r>
    </w:p>
    <w:p>
      <w:pPr>
        <w:pStyle w:val="FirstParagraph"/>
      </w:pPr>
      <w:r>
        <w:t xml:space="preserve">The Medical Researcher will lead a phased study addressing three core objectives:</w:t>
      </w:r>
    </w:p>
    <w:p>
      <w:pPr>
        <w:numPr>
          <w:ilvl w:val="0"/>
          <w:numId w:val="1001"/>
        </w:numPr>
        <w:pStyle w:val="Compact"/>
      </w:pPr>
      <w:r>
        <w:rPr>
          <w:bCs/>
          <w:b/>
        </w:rPr>
        <w:t xml:space="preserve">Develop Tokyo-Specific AI Algorithms:</w:t>
      </w:r>
      <w:r>
        <w:t xml:space="preserve"> </w:t>
      </w:r>
      <w:r>
        <w:t xml:space="preserve">Curate a de-identified dataset of 15,000+ geriatric cancer cases from Tokyo metropolitan hospitals (including Keio University Hospital and St. Luke’s International), integrating genomic sequencing, electronic health records (EHRs), and social determinants data (e.g., urban living conditions).</w:t>
      </w:r>
    </w:p>
    <w:p>
      <w:pPr>
        <w:numPr>
          <w:ilvl w:val="0"/>
          <w:numId w:val="1001"/>
        </w:numPr>
        <w:pStyle w:val="Compact"/>
      </w:pPr>
      <w:r>
        <w:rPr>
          <w:bCs/>
          <w:b/>
        </w:rPr>
        <w:t xml:space="preserve">Validate Clinical Utility:</w:t>
      </w:r>
      <w:r>
        <w:t xml:space="preserve"> </w:t>
      </w:r>
      <w:r>
        <w:t xml:space="preserve">Conduct prospective trials across 5 Tokyo clinics to test the AI framework against current diagnostic standards, measuring reduction in time-to-diagnosis (primary metric) and treatment efficacy rates.</w:t>
      </w:r>
    </w:p>
    <w:p>
      <w:pPr>
        <w:pStyle w:val="FirstParagraph"/>
      </w:pPr>
      <w:r>
        <w:t xml:space="preserve">The methodology employs federated learning to preserve patient privacy while harnessing Tokyo's distributed data silos—a critical adaptation for Japan’s stringent data laws (Act on the Protection of Personal Information, 2017). The Medical Researcher will collaborate with AI specialists at Tokyo Institute of Technology and ethics boards at University of Tokyo, ensuring cultural sensitivity in patient recruitment (e.g., addressing elderly patients’ digital literacy barriers).</w:t>
      </w:r>
    </w:p>
    <w:bookmarkEnd w:id="22"/>
    <w:bookmarkStart w:id="23" w:name="Xd344096bd7fef558a308e7d3711e2917d188f35"/>
    <w:p>
      <w:pPr>
        <w:pStyle w:val="Heading2"/>
      </w:pPr>
      <w:r>
        <w:t xml:space="preserve">3. Significance: Impact on Japan Tokyo's Healthcare Ecosystem</w:t>
      </w:r>
    </w:p>
    <w:p>
      <w:pPr>
        <w:pStyle w:val="FirstParagraph"/>
      </w:pPr>
      <w:r>
        <w:t xml:space="preserve">This project’s significance is multi-layered for Japan and specifically Tokyo:</w:t>
      </w:r>
    </w:p>
    <w:p>
      <w:pPr>
        <w:numPr>
          <w:ilvl w:val="0"/>
          <w:numId w:val="1002"/>
        </w:numPr>
        <w:pStyle w:val="Compact"/>
      </w:pPr>
      <w:r>
        <w:rPr>
          <w:bCs/>
          <w:b/>
        </w:rPr>
        <w:t xml:space="preserve">National Strategic Alignment:</w:t>
      </w:r>
      <w:r>
        <w:t xml:space="preserve"> </w:t>
      </w:r>
      <w:r>
        <w:t xml:space="preserve">Directly supports Japan’s "Society 5.0" vision by advancing AI-driven healthcare—prioritized in the 2023 MEXT budget allocation of ¥18 billion for medical AI.</w:t>
      </w:r>
    </w:p>
    <w:p>
      <w:pPr>
        <w:numPr>
          <w:ilvl w:val="0"/>
          <w:numId w:val="1002"/>
        </w:numPr>
        <w:pStyle w:val="Compact"/>
      </w:pPr>
      <w:r>
        <w:rPr>
          <w:bCs/>
          <w:b/>
        </w:rPr>
        <w:t xml:space="preserve">Tokyo’s Urban Advantage:</w:t>
      </w:r>
      <w:r>
        <w:t xml:space="preserve"> </w:t>
      </w:r>
      <w:r>
        <w:t xml:space="preserve">Tokyo provides unparalleled access to diverse patient cohorts, high-density hospitals, and digital health infrastructure (e.g., the Tokyo Health Data Platform). This ecosystem enables rapid real-world validation impossible in rural Japan.</w:t>
      </w:r>
    </w:p>
    <w:p>
      <w:pPr>
        <w:numPr>
          <w:ilvl w:val="0"/>
          <w:numId w:val="1002"/>
        </w:numPr>
        <w:pStyle w:val="Compact"/>
      </w:pPr>
      <w:r>
        <w:rPr>
          <w:bCs/>
          <w:b/>
        </w:rPr>
        <w:t xml:space="preserve">Economic Impact:</w:t>
      </w:r>
      <w:r>
        <w:t xml:space="preserve"> </w:t>
      </w:r>
      <w:r>
        <w:t xml:space="preserve">By reducing average diagnostic time from 45 to 27 days (per pilot data from NCGG), the framework could save Tokyo hospitals ¥1.2 billion yearly in resource allocation and prevent an estimated 2,300 annual treatment failures.</w:t>
      </w:r>
    </w:p>
    <w:p>
      <w:pPr>
        <w:numPr>
          <w:ilvl w:val="0"/>
          <w:numId w:val="1002"/>
        </w:numPr>
        <w:pStyle w:val="Compact"/>
      </w:pPr>
      <w:r>
        <w:rPr>
          <w:bCs/>
          <w:b/>
        </w:rPr>
        <w:t xml:space="preserve">Global Relevance:</w:t>
      </w:r>
      <w:r>
        <w:t xml:space="preserve"> </w:t>
      </w:r>
      <w:r>
        <w:t xml:space="preserve">While targeting Japan’s needs, the methodology offers a blueprint for other aging megacities (e.g., Seoul, Singapore), enhancing Japan’s leadership in global medical innovation.</w:t>
      </w:r>
    </w:p>
    <w:bookmarkEnd w:id="23"/>
    <w:bookmarkStart w:id="24" w:name="role-of-the-medical-researcher"/>
    <w:p>
      <w:pPr>
        <w:pStyle w:val="Heading2"/>
      </w:pPr>
      <w:r>
        <w:t xml:space="preserve">4. Role of the Medical Researcher</w:t>
      </w:r>
    </w:p>
    <w:p>
      <w:pPr>
        <w:pStyle w:val="FirstParagraph"/>
      </w:pPr>
      <w:r>
        <w:t xml:space="preserve">The appointed Medical Researcher will be the project’s operational and intellectual nucleus, responsible for:</w:t>
      </w:r>
    </w:p>
    <w:p>
      <w:pPr>
        <w:numPr>
          <w:ilvl w:val="0"/>
          <w:numId w:val="1003"/>
        </w:numPr>
        <w:pStyle w:val="Compact"/>
      </w:pPr>
      <w:r>
        <w:t xml:space="preserve">Overseeing data curation and ethical compliance across Tokyo institutions.</w:t>
      </w:r>
    </w:p>
    <w:p>
      <w:pPr>
        <w:numPr>
          <w:ilvl w:val="0"/>
          <w:numId w:val="1003"/>
        </w:numPr>
        <w:pStyle w:val="Compact"/>
      </w:pPr>
      <w:r>
        <w:t xml:space="preserve">Mentoring 3 junior researchers in AI-medical integration, fostering Japan’s next-generation biomedical workforce.</w:t>
      </w:r>
    </w:p>
    <w:p>
      <w:pPr>
        <w:numPr>
          <w:ilvl w:val="0"/>
          <w:numId w:val="1003"/>
        </w:numPr>
        <w:pStyle w:val="Compact"/>
      </w:pPr>
      <w:r>
        <w:t xml:space="preserve">Presenting findings at key Japanese forums (e.g., Japan Society of Clinical Oncology annual meeting) to drive policy adoption.</w:t>
      </w:r>
    </w:p>
    <w:p>
      <w:pPr>
        <w:numPr>
          <w:ilvl w:val="0"/>
          <w:numId w:val="1003"/>
        </w:numPr>
        <w:pStyle w:val="Compact"/>
      </w:pPr>
      <w:r>
        <w:t xml:space="preserve">Securing follow-on funding through MEXT grants and industry partnerships (e.g., with Tokyo-based firms like Daiichi Sankyo).</w:t>
      </w:r>
    </w:p>
    <w:p>
      <w:pPr>
        <w:pStyle w:val="FirstParagraph"/>
      </w:pPr>
      <w:r>
        <w:t xml:space="preserve">This role requires fluency in Japanese medical terminology, experience navigating Japan’s research ethics review processes (Institutional Review Boards), and a track record in cross-institutional collaboration—ensuring the project leverages Tokyo’s academic network rather than operating in isolation.</w:t>
      </w:r>
    </w:p>
    <w:bookmarkEnd w:id="24"/>
    <w:bookmarkStart w:id="25" w:name="expected-outcomes-and-timeline"/>
    <w:p>
      <w:pPr>
        <w:pStyle w:val="Heading2"/>
      </w:pPr>
      <w:r>
        <w:t xml:space="preserve">5. Expected Outcomes and Timeline</w:t>
      </w:r>
    </w:p>
    <w:p>
      <w:pPr>
        <w:pStyle w:val="FirstParagraph"/>
      </w:pPr>
      <w:r>
        <w:t xml:space="preserve">By Year 3, the project will deliver:</w:t>
      </w:r>
    </w:p>
    <w:p>
      <w:pPr>
        <w:numPr>
          <w:ilvl w:val="0"/>
          <w:numId w:val="1004"/>
        </w:numPr>
        <w:pStyle w:val="Compact"/>
      </w:pPr>
      <w:r>
        <w:t xml:space="preserve">A validated AI diagnostic toolkit (open-source for Tokyo hospitals under MHLW guidelines).</w:t>
      </w:r>
    </w:p>
    <w:p>
      <w:pPr>
        <w:numPr>
          <w:ilvl w:val="0"/>
          <w:numId w:val="1004"/>
        </w:numPr>
        <w:pStyle w:val="Compact"/>
      </w:pPr>
      <w:r>
        <w:t xml:space="preserve">Publishable studies in high-impact journals (e.g., *The Lancet Oncology*), highlighting Japan-specific genomic insights.</w:t>
      </w:r>
    </w:p>
    <w:p>
      <w:pPr>
        <w:numPr>
          <w:ilvl w:val="0"/>
          <w:numId w:val="1004"/>
        </w:numPr>
        <w:pStyle w:val="Compact"/>
      </w:pPr>
      <w:r>
        <w:t xml:space="preserve">Policy briefs for MHLW to integrate the framework into national geriatric cancer care protocols.</w:t>
      </w:r>
    </w:p>
    <w:p>
      <w:pPr>
        <w:pStyle w:val="FirstParagraph"/>
      </w:pPr>
      <w:r>
        <w:t xml:space="preserve">Timeline: Months 1–6 (data governance setup), Months 7–24 (AI development &amp; validation), Months 25–36 (deployment strategy &amp; impact assessment). Critical milestones include securing MHLW approval by Month 10 and a pilot rollout at Tokyo Medical University Hospital by Month 18.</w:t>
      </w:r>
    </w:p>
    <w:bookmarkEnd w:id="25"/>
    <w:bookmarkStart w:id="26" w:name="budget-and-resources"/>
    <w:p>
      <w:pPr>
        <w:pStyle w:val="Heading2"/>
      </w:pPr>
      <w:r>
        <w:t xml:space="preserve">6. Budget and Resources</w:t>
      </w:r>
    </w:p>
    <w:p>
      <w:pPr>
        <w:pStyle w:val="FirstParagraph"/>
      </w:pPr>
      <w:r>
        <w:t xml:space="preserve">The proposed budget of ¥48 million (≈$315,000) is allocated to:</w:t>
      </w:r>
    </w:p>
    <w:p>
      <w:pPr>
        <w:numPr>
          <w:ilvl w:val="0"/>
          <w:numId w:val="1005"/>
        </w:numPr>
        <w:pStyle w:val="Compact"/>
      </w:pPr>
      <w:r>
        <w:t xml:space="preserve">¥18M for AI infrastructure (cloud computing at RIKEN, Tokyo data center access)</w:t>
      </w:r>
    </w:p>
    <w:p>
      <w:pPr>
        <w:numPr>
          <w:ilvl w:val="0"/>
          <w:numId w:val="1005"/>
        </w:numPr>
        <w:pStyle w:val="Compact"/>
      </w:pPr>
      <w:r>
        <w:t xml:space="preserve">¥15M for clinical data curation and ethical compliance</w:t>
      </w:r>
    </w:p>
    <w:p>
      <w:pPr>
        <w:numPr>
          <w:ilvl w:val="0"/>
          <w:numId w:val="1005"/>
        </w:numPr>
        <w:pStyle w:val="Compact"/>
      </w:pPr>
      <w:r>
        <w:t xml:space="preserve">¥9M for personnel (Medical Researcher salary, 2 postdocs, research assistant)</w:t>
      </w:r>
    </w:p>
    <w:p>
      <w:pPr>
        <w:numPr>
          <w:ilvl w:val="0"/>
          <w:numId w:val="1005"/>
        </w:numPr>
        <w:pStyle w:val="Compact"/>
      </w:pPr>
      <w:r>
        <w:t xml:space="preserve">¥6M for stakeholder engagement (Tokyo hospital partnerships, MHLW consultations)</w:t>
      </w:r>
    </w:p>
    <w:p>
      <w:pPr>
        <w:pStyle w:val="FirstParagraph"/>
      </w:pPr>
      <w:r>
        <w:t xml:space="preserve">Funding will be secured through a 70% grant from AMED (Japan Agency for Medical Research and Development) with 30% co-funding from Tokyo University Hospital, demonstrating institutional commitment.</w:t>
      </w:r>
    </w:p>
    <w:bookmarkEnd w:id="26"/>
    <w:bookmarkStart w:id="27" w:name="conclusion-why-tokyo-japan"/>
    <w:p>
      <w:pPr>
        <w:pStyle w:val="Heading2"/>
      </w:pPr>
      <w:r>
        <w:t xml:space="preserve">7. Conclusion: Why Tokyo, Japan?</w:t>
      </w:r>
    </w:p>
    <w:p>
      <w:pPr>
        <w:pStyle w:val="FirstParagraph"/>
      </w:pPr>
      <w:r>
        <w:t xml:space="preserve">This research is not merely relevant—it is urgent for Tokyo’s future. As Japan’s healthcare epicenter, Tokyo holds the data, infrastructure, and policy influence to transform geriatric cancer care at scale. The Medical Researcher will serve as the critical catalyst to turn this potential into reality, ensuring Japan leads—not follows—in AI-driven precision medicine for aging societies. By embedding innovation within Tokyo’s existing medical ecosystem rather than importing foreign models, this project embodies the essence of "Japanese solution for Japanese challenges." We seek approval to launch this initiative immediately at Tokyo University Hospital, where its first patient cohort will be enrolled in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for Aging Populations in Tokyo, Japan</dc:title>
  <dc:creator/>
  <dc:language>en</dc:language>
  <cp:keywords/>
  <dcterms:created xsi:type="dcterms:W3CDTF">2026-07-24T03:57:57Z</dcterms:created>
  <dcterms:modified xsi:type="dcterms:W3CDTF">2026-07-24T03:57:57Z</dcterms:modified>
</cp:coreProperties>
</file>

<file path=docProps/custom.xml><?xml version="1.0" encoding="utf-8"?>
<Properties xmlns="http://schemas.openxmlformats.org/officeDocument/2006/custom-properties" xmlns:vt="http://schemas.openxmlformats.org/officeDocument/2006/docPropsVTypes"/>
</file>