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Qatar</w:t>
      </w:r>
      <w:r>
        <w:t xml:space="preserve"> </w:t>
      </w:r>
      <w:r>
        <w:t xml:space="preserve">Doha</w:t>
      </w:r>
    </w:p>
    <w:bookmarkStart w:id="29" w:name="X1684fc15fdef58d30332e42ce9bb39b657509a8"/>
    <w:p>
      <w:pPr>
        <w:pStyle w:val="Heading1"/>
      </w:pPr>
      <w:r>
        <w:t xml:space="preserve">Comprehensive Research Proposal: Advancing Healthcare Innovation Through the Role of a Medical Researcher in Qatar Doha</w:t>
      </w:r>
    </w:p>
    <w:bookmarkStart w:id="20" w:name="introduction-and-institutional-context"/>
    <w:p>
      <w:pPr>
        <w:pStyle w:val="Heading2"/>
      </w:pPr>
      <w:r>
        <w:t xml:space="preserve">Introduction and Institutional Context</w:t>
      </w:r>
    </w:p>
    <w:p>
      <w:pPr>
        <w:pStyle w:val="FirstParagraph"/>
      </w:pPr>
      <w:r>
        <w:t xml:space="preserve">The State of Qatar, with its visionary national health strategy and ambitious goals under the National Vision 2030, stands at the forefront of healthcare innovation in the Middle East. As a global hub for medical excellence in</w:t>
      </w:r>
      <w:r>
        <w:t xml:space="preserve"> </w:t>
      </w:r>
      <w:r>
        <w:rPr>
          <w:bCs/>
          <w:b/>
        </w:rPr>
        <w:t xml:space="preserve">Qatar Doha</w:t>
      </w:r>
      <w:r>
        <w:t xml:space="preserve">, institutions like Hamad Medical Corporation (HMC), Sidra Medicine, and Qatar University are actively seeking to strengthen their research infrastructure.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Medical Researcher</w:t>
      </w:r>
      <w:r>
        <w:t xml:space="preserve"> </w:t>
      </w:r>
      <w:r>
        <w:t xml:space="preserve">position focused on addressing critical healthcare challenges unique to Qatar's demographic landscape. The proposal aligns with the Qatar National Research Fund (QNRF) priorities and HMC's 2035 Strategic Plan, emphasizing evidence-based solutions for rising non-communicable diseases (NCDs) in our rapidly urbanizing society.</w:t>
      </w:r>
    </w:p>
    <w:bookmarkEnd w:id="20"/>
    <w:bookmarkStart w:id="21" w:name="X4e608fdbc5a10e72c2b794376aabc964e716ee8"/>
    <w:p>
      <w:pPr>
        <w:pStyle w:val="Heading2"/>
      </w:pPr>
      <w:r>
        <w:t xml:space="preserve">Problem Statement: Critical Healthcare Gaps in Qatar Doha</w:t>
      </w:r>
    </w:p>
    <w:p>
      <w:pPr>
        <w:pStyle w:val="FirstParagraph"/>
      </w:pPr>
      <w:r>
        <w:t xml:space="preserve">Qatar faces a dual burden of emerging health challenges. Despite high-income status, the nation experiences disproportionately elevated rates of Type 2 Diabetes (35.4%), obesity (39.8%), and cardiovascular diseases compared to global averages, as reported by the WHO in 2023. These conditions are exacerbated by cultural dietary shifts, sedentary lifestyles among expatriate and Qatari populations, and limited longitudinal studies on genetic-environmental interactions specific to Qatar's diverse demographics. Current research capacity remains fragmented across institutions without dedicated</w:t>
      </w:r>
      <w:r>
        <w:t xml:space="preserve"> </w:t>
      </w:r>
      <w:r>
        <w:rPr>
          <w:bCs/>
          <w:b/>
        </w:rPr>
        <w:t xml:space="preserve">Medical Researcher</w:t>
      </w:r>
      <w:r>
        <w:t xml:space="preserve"> </w:t>
      </w:r>
      <w:r>
        <w:t xml:space="preserve">roles focused on community-level intervention design. This gap directly impedes Qatar Doha's ability to develop culturally tailored prevention programs, threatening the sustainability of its healthcare system and economic productivity.</w:t>
      </w:r>
    </w:p>
    <w:bookmarkEnd w:id="21"/>
    <w:bookmarkStart w:id="22" w:name="X5b61aa810c4a29af356e8e07978b7d5c9ea9865"/>
    <w:p>
      <w:pPr>
        <w:pStyle w:val="Heading2"/>
      </w:pPr>
      <w:r>
        <w:t xml:space="preserve">Research Objectives: A Three-Pronged Approach</w:t>
      </w:r>
    </w:p>
    <w:p>
      <w:pPr>
        <w:numPr>
          <w:ilvl w:val="0"/>
          <w:numId w:val="1001"/>
        </w:numPr>
        <w:pStyle w:val="Compact"/>
      </w:pPr>
      <w:r>
        <w:rPr>
          <w:bCs/>
          <w:b/>
        </w:rPr>
        <w:t xml:space="preserve">Epidemiological Mapping:</w:t>
      </w:r>
      <w:r>
        <w:t xml:space="preserve"> </w:t>
      </w:r>
      <w:r>
        <w:t xml:space="preserve">Establish a longitudinal cohort study tracking 5,000 adults across all major districts in Qatar Doha to document prevalence patterns of NCDs with granular analysis of gender, nationality, age groups, and socioeconomic status.</w:t>
      </w:r>
    </w:p>
    <w:p>
      <w:pPr>
        <w:numPr>
          <w:ilvl w:val="0"/>
          <w:numId w:val="1001"/>
        </w:numPr>
        <w:pStyle w:val="Compact"/>
      </w:pPr>
      <w:r>
        <w:rPr>
          <w:bCs/>
          <w:b/>
        </w:rPr>
        <w:t xml:space="preserve">Intervention Development:</w:t>
      </w:r>
      <w:r>
        <w:t xml:space="preserve"> </w:t>
      </w:r>
      <w:r>
        <w:t xml:space="preserve">Collaborate with primary healthcare centers in Qatar Doha to co-design and pilot a mobile health (mHealth) intervention using locally validated Arabic-language apps for diabetes prevention targeting high-risk communities.</w:t>
      </w:r>
    </w:p>
    <w:bookmarkEnd w:id="22"/>
    <w:bookmarkStart w:id="23" w:name="X854a903ee7285cb4149d1aedcf75a2a33c72f87"/>
    <w:p>
      <w:pPr>
        <w:pStyle w:val="Heading2"/>
      </w:pPr>
      <w:r>
        <w:t xml:space="preserve">Methodology: Rigorous, Culturally Anchored Research</w:t>
      </w:r>
    </w:p>
    <w:p>
      <w:pPr>
        <w:pStyle w:val="FirstParagraph"/>
      </w:pPr>
      <w:r>
        <w:t xml:space="preserve">This</w:t>
      </w:r>
      <w:r>
        <w:t xml:space="preserve"> </w:t>
      </w:r>
      <w:r>
        <w:rPr>
          <w:bCs/>
          <w:b/>
        </w:rPr>
        <w:t xml:space="preserve">Research Proposal</w:t>
      </w:r>
      <w:r>
        <w:t xml:space="preserve"> </w:t>
      </w:r>
      <w:r>
        <w:t xml:space="preserve">employs a mixed-methods approach led by an experienced</w:t>
      </w:r>
      <w:r>
        <w:t xml:space="preserve"> </w:t>
      </w:r>
      <w:r>
        <w:rPr>
          <w:bCs/>
          <w:b/>
        </w:rPr>
        <w:t xml:space="preserve">Medical Researcher</w:t>
      </w:r>
      <w:r>
        <w:t xml:space="preserve">. Phase 1 (Months 1-6) involves secondary data analysis from HMC's National Diabetes Registry and Qatar Biobank, combined with community surveys in Doha's neighborhoods. Phase 2 (Months 7-18) implements a randomized controlled trial of the mHealth intervention across six primary healthcare centers in Qatar Doha, using culturally adapted motivational interviewing techniques validated through focus groups with Qatari women and expatriate communities. Statistical analysis will utilize multivariate regression models accounting for genetic variants common in Gulf populations (e.g., TCF7L2 gene polymorphisms). All protocols comply with the Declaration of Helsinki and Qatar’s National Bioethics Committee standards. Crucially, the</w:t>
      </w:r>
      <w:r>
        <w:t xml:space="preserve"> </w:t>
      </w:r>
      <w:r>
        <w:rPr>
          <w:bCs/>
          <w:b/>
        </w:rPr>
        <w:t xml:space="preserve">Medical Researcher</w:t>
      </w:r>
      <w:r>
        <w:t xml:space="preserve"> </w:t>
      </w:r>
      <w:r>
        <w:t xml:space="preserve">role ensures community engagement from inception—working with local sheikhs, schools, and mosques to co-create research materials in colloquial Arabic.</w:t>
      </w:r>
    </w:p>
    <w:bookmarkEnd w:id="23"/>
    <w:bookmarkStart w:id="24" w:name="X6b6913acc99e07b99f948facbc27057f4b1162f"/>
    <w:p>
      <w:pPr>
        <w:pStyle w:val="Heading2"/>
      </w:pPr>
      <w:r>
        <w:t xml:space="preserve">Significance: Impact on Qatar Doha's Health Ecosystem</w:t>
      </w:r>
    </w:p>
    <w:p>
      <w:pPr>
        <w:pStyle w:val="FirstParagraph"/>
      </w:pPr>
      <w:r>
        <w:t xml:space="preserve">The outcomes of this work will deliver transformative value for Qatar Doha. First, it addresses a direct national priority: reducing NCD-related disability-adjusted life years (DALYs), which currently cost the economy $1.8 billion annually (Qatar Central Bank, 2022). Second, the</w:t>
      </w:r>
      <w:r>
        <w:t xml:space="preserve"> </w:t>
      </w:r>
      <w:r>
        <w:rPr>
          <w:bCs/>
          <w:b/>
        </w:rPr>
        <w:t xml:space="preserve">Medical Researcher</w:t>
      </w:r>
      <w:r>
        <w:t xml:space="preserve"> </w:t>
      </w:r>
      <w:r>
        <w:t xml:space="preserve">will build sustainable capacity by training three Qatari junior researchers through HMC's Academic Health Center—directly supporting Vision 2030's goal of localizing expertise. Third, the mHealth model developed will be transferable to other Gulf states through initiatives like the Gulf Cooperation Council (GCC) Health Research Network. Most significantly, this project positions</w:t>
      </w:r>
      <w:r>
        <w:t xml:space="preserve"> </w:t>
      </w:r>
      <w:r>
        <w:rPr>
          <w:bCs/>
          <w:b/>
        </w:rPr>
        <w:t xml:space="preserve">Qatar Doha</w:t>
      </w:r>
      <w:r>
        <w:t xml:space="preserve"> </w:t>
      </w:r>
      <w:r>
        <w:t xml:space="preserve">as a regional leader in precision public health, attracting global partnerships with institutions like Johns Hopkins Aramco Healthcare and Qatar University’s College of Medicine.</w:t>
      </w:r>
    </w:p>
    <w:bookmarkEnd w:id="24"/>
    <w:bookmarkStart w:id="25" w:name="X3e2075d187ecca5e8e8187d893f11853245ba4d"/>
    <w:p>
      <w:pPr>
        <w:pStyle w:val="Heading2"/>
      </w:pPr>
      <w:r>
        <w:t xml:space="preserve">Implementation Framework: Institutional Integration</w:t>
      </w:r>
    </w:p>
    <w:p>
      <w:pPr>
        <w:pStyle w:val="FirstParagraph"/>
      </w:pPr>
      <w:r>
        <w:t xml:space="preserve">The proposed</w:t>
      </w:r>
      <w:r>
        <w:t xml:space="preserve"> </w:t>
      </w:r>
      <w:r>
        <w:rPr>
          <w:bCs/>
          <w:b/>
        </w:rPr>
        <w:t xml:space="preserve">Medical Researcher</w:t>
      </w:r>
      <w:r>
        <w:t xml:space="preserve"> </w:t>
      </w:r>
      <w:r>
        <w:t xml:space="preserve">position will be embedded within HMC's Center for Health Promotion, reporting directly to the Head of Research Strategy. This structure ensures seamless alignment with Qatar Doha's health priorities and avoids bureaucratic silos. Key resources include:</w:t>
      </w:r>
    </w:p>
    <w:p>
      <w:pPr>
        <w:numPr>
          <w:ilvl w:val="0"/>
          <w:numId w:val="1002"/>
        </w:numPr>
        <w:pStyle w:val="Compact"/>
      </w:pPr>
      <w:r>
        <w:t xml:space="preserve">Access to HMC’s real-time electronic health record system (10 million patient records)</w:t>
      </w:r>
    </w:p>
    <w:p>
      <w:pPr>
        <w:numPr>
          <w:ilvl w:val="0"/>
          <w:numId w:val="1002"/>
        </w:numPr>
        <w:pStyle w:val="Compact"/>
      </w:pPr>
      <w:r>
        <w:t xml:space="preserve">Collaboration with Qatar Biobank for genetic analysis</w:t>
      </w:r>
    </w:p>
    <w:p>
      <w:pPr>
        <w:numPr>
          <w:ilvl w:val="0"/>
          <w:numId w:val="1002"/>
        </w:numPr>
        <w:pStyle w:val="Compact"/>
      </w:pPr>
      <w:r>
        <w:t xml:space="preserve">Dedicated lab space at the new National Research Institute in Education City, Doha</w:t>
      </w:r>
    </w:p>
    <w:p>
      <w:pPr>
        <w:numPr>
          <w:ilvl w:val="0"/>
          <w:numId w:val="1002"/>
        </w:numPr>
        <w:pStyle w:val="Compact"/>
      </w:pPr>
      <w:r>
        <w:t xml:space="preserve">Qatar University's Human Subjects Review Committee for accelerated ethical approvals</w:t>
      </w:r>
    </w:p>
    <w:bookmarkEnd w:id="25"/>
    <w:bookmarkStart w:id="26" w:name="timeline-and-resource-requirements"/>
    <w:p>
      <w:pPr>
        <w:pStyle w:val="Heading2"/>
      </w:pPr>
      <w:r>
        <w:t xml:space="preserve">Timeline and Resource Requirements</w:t>
      </w:r>
    </w:p>
    <w:p>
      <w:pPr>
        <w:pStyle w:val="FirstParagraph"/>
      </w:pPr>
      <w:r>
        <w:t xml:space="preserve">The project spans 30 months with clear milestones: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Study Design &amp; Ethical Approval</w:t>
      </w:r>
    </w:p>
    <w:p>
      <w:pPr>
        <w:pStyle w:val="BodyText"/>
      </w:pPr>
      <w:r>
        <w:t xml:space="preserve">Months 1-4</w:t>
      </w:r>
    </w:p>
    <w:p>
      <w:pPr>
        <w:pStyle w:val="BodyText"/>
      </w:pPr>
      <w:r>
        <w:t xml:space="preserve">Fully approved protocol, community partnership agreements, survey instruments in Arabic/English</w:t>
      </w:r>
    </w:p>
    <w:p>
      <w:pPr>
        <w:pStyle w:val="BodyText"/>
      </w:pPr>
      <w:r>
        <w:t xml:space="preserve">Baseline Data Collection</w:t>
      </w:r>
    </w:p>
    <w:p>
      <w:pPr>
        <w:pStyle w:val="BodyText"/>
      </w:pPr>
      <w:r>
        <w:t xml:space="preserve">Months 5-12</w:t>
      </w:r>
    </w:p>
    <w:p>
      <w:pPr>
        <w:pStyle w:val="BodyText"/>
      </w:pPr>
      <w:r>
        <w:t xml:space="preserve">Cohort enrollment (n=500), initial risk factor mapping report for MOH</w:t>
      </w:r>
    </w:p>
    <w:p>
      <w:pPr>
        <w:pStyle w:val="BodyText"/>
      </w:pPr>
      <w:r>
        <w:t xml:space="preserve">Intervention Pilot &amp; Analysis</w:t>
      </w:r>
    </w:p>
    <w:p>
      <w:pPr>
        <w:pStyle w:val="BodyText"/>
      </w:pPr>
      <w:r>
        <w:t xml:space="preserve">Months 13-24</w:t>
      </w:r>
    </w:p>
    <w:p>
      <w:pPr>
        <w:pStyle w:val="BodyText"/>
      </w:pPr>
      <w:r>
        <w:t xml:space="preserve">mHealth app deployment, preliminary efficacy data, community feedback workshop in Doha</w:t>
      </w:r>
    </w:p>
    <w:p>
      <w:pPr>
        <w:pStyle w:val="BodyText"/>
      </w:pPr>
      <w:r>
        <w:t xml:space="preserve">Policy Integration &amp; Dissemination</w:t>
      </w:r>
    </w:p>
    <w:p>
      <w:pPr>
        <w:pStyle w:val="BodyText"/>
      </w:pPr>
      <w:r>
        <w:t xml:space="preserve">Months 25-30</w:t>
      </w:r>
    </w:p>
    <w:p>
      <w:pPr>
        <w:pStyle w:val="BodyText"/>
      </w:pPr>
      <w:r>
        <w:t xml:space="preserve">National guidelines draft, peer-reviewed publications (target: 4 articles), capacity building report for QNRF</w:t>
      </w:r>
    </w:p>
    <w:bookmarkEnd w:id="26"/>
    <w:bookmarkStart w:id="27" w:name="Xb644855f7c3d2b0323dd51ccc0dfcc2655f1b88"/>
    <w:p>
      <w:pPr>
        <w:pStyle w:val="Heading2"/>
      </w:pPr>
      <w:r>
        <w:t xml:space="preserve">Budget Justification: Strategic Investment in Local Health Outcomes</w:t>
      </w:r>
    </w:p>
    <w:p>
      <w:pPr>
        <w:pStyle w:val="FirstParagraph"/>
      </w:pPr>
      <w:r>
        <w:t xml:space="preserve">The requested budget of $350,000 (fully supported by QNRF) allocates resources to maximize impact within Qatar Doha's context:</w:t>
      </w:r>
    </w:p>
    <w:p>
      <w:pPr>
        <w:numPr>
          <w:ilvl w:val="0"/>
          <w:numId w:val="1003"/>
        </w:numPr>
        <w:pStyle w:val="Compact"/>
      </w:pPr>
      <w:r>
        <w:t xml:space="preserve">65% for community-based fieldwork (data collectors trained in cultural sensitivity)</w:t>
      </w:r>
    </w:p>
    <w:p>
      <w:pPr>
        <w:numPr>
          <w:ilvl w:val="0"/>
          <w:numId w:val="1003"/>
        </w:numPr>
        <w:pStyle w:val="Compact"/>
      </w:pPr>
      <w:r>
        <w:t xml:space="preserve">20% for mHealth app development and technical support</w:t>
      </w:r>
    </w:p>
    <w:p>
      <w:pPr>
        <w:numPr>
          <w:ilvl w:val="0"/>
          <w:numId w:val="1003"/>
        </w:numPr>
        <w:pStyle w:val="Compact"/>
      </w:pPr>
      <w:r>
        <w:t xml:space="preserve">10% for community engagement (including mosque/clinic partnerships)</w:t>
      </w:r>
    </w:p>
    <w:p>
      <w:pPr>
        <w:numPr>
          <w:ilvl w:val="0"/>
          <w:numId w:val="1003"/>
        </w:numPr>
        <w:pStyle w:val="Compact"/>
      </w:pPr>
      <w:r>
        <w:t xml:space="preserve">5% for dissemination via Qatar Doha's national health conference</w:t>
      </w:r>
    </w:p>
    <w:bookmarkEnd w:id="27"/>
    <w:bookmarkStart w:id="28" w:name="X29115edb4844a770e0d0989fb0642a87a57a4f2"/>
    <w:p>
      <w:pPr>
        <w:pStyle w:val="Heading2"/>
      </w:pPr>
      <w:r>
        <w:t xml:space="preserve">Conclusion: Pioneering Healthcare Innovation in Qatar Doha</w:t>
      </w:r>
    </w:p>
    <w:p>
      <w:pPr>
        <w:pStyle w:val="FirstParagraph"/>
      </w:pPr>
      <w:r>
        <w:t xml:space="preserve">This</w:t>
      </w:r>
      <w:r>
        <w:t xml:space="preserve"> </w:t>
      </w:r>
      <w:r>
        <w:rPr>
          <w:bCs/>
          <w:b/>
        </w:rPr>
        <w:t xml:space="preserve">Research Proposal</w:t>
      </w:r>
      <w:r>
        <w:t xml:space="preserve"> </w:t>
      </w:r>
      <w:r>
        <w:t xml:space="preserve">presents a compelling case for an integrated, community-centered approach to medical research led by a skilled</w:t>
      </w:r>
      <w:r>
        <w:t xml:space="preserve"> </w:t>
      </w:r>
      <w:r>
        <w:rPr>
          <w:bCs/>
          <w:b/>
        </w:rPr>
        <w:t xml:space="preserve">Medical Researcher</w:t>
      </w:r>
      <w:r>
        <w:t xml:space="preserve">. By targeting the NCD crisis through culturally embedded methodology and direct policy linkage, it transforms data into actionable health improvements. The project will not only advance scientific knowledge but also fulfill Qatar's commitment to "Qatar First" healthcare innovation—creating a replicable model that elevates</w:t>
      </w:r>
      <w:r>
        <w:t xml:space="preserve"> </w:t>
      </w:r>
      <w:r>
        <w:rPr>
          <w:bCs/>
          <w:b/>
        </w:rPr>
        <w:t xml:space="preserve">Qatar Doha</w:t>
      </w:r>
      <w:r>
        <w:t xml:space="preserve"> </w:t>
      </w:r>
      <w:r>
        <w:t xml:space="preserve">as a global benchmark for equitable, evidence-based medicine. With this initiative, HMC and its partners position themselves at the vanguard of healthcare transformation in an emerging economy where research directly drives national prosperity. The proposed</w:t>
      </w:r>
      <w:r>
        <w:t xml:space="preserve"> </w:t>
      </w:r>
      <w:r>
        <w:rPr>
          <w:bCs/>
          <w:b/>
        </w:rPr>
        <w:t xml:space="preserve">Medical Researcher</w:t>
      </w:r>
      <w:r>
        <w:t xml:space="preserve"> </w:t>
      </w:r>
      <w:r>
        <w:t xml:space="preserve">role is not merely a position but a catalyst for sustainable health security across generations of Qatari citizens and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Medical Researcher Position in Qatar Doha</dc:title>
  <dc:creator/>
  <dc:language>en</dc:language>
  <cp:keywords/>
  <dcterms:created xsi:type="dcterms:W3CDTF">2026-07-21T11:03:30Z</dcterms:created>
  <dcterms:modified xsi:type="dcterms:W3CDTF">2026-07-21T11:03:30Z</dcterms:modified>
</cp:coreProperties>
</file>

<file path=docProps/custom.xml><?xml version="1.0" encoding="utf-8"?>
<Properties xmlns="http://schemas.openxmlformats.org/officeDocument/2006/custom-properties" xmlns:vt="http://schemas.openxmlformats.org/officeDocument/2006/docPropsVTypes"/>
</file>