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Capabilities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Xe9dea67852a81ebd40db4fb95264936a1ab1c70"/>
    <w:p>
      <w:pPr>
        <w:pStyle w:val="Heading1"/>
      </w:pPr>
      <w:r>
        <w:t xml:space="preserve">Research Proposal: Advancing Medical Researcher Capabilities and Innovation for Singapore Singapore's Healthcare Ecosystem</w:t>
      </w:r>
    </w:p>
    <w:bookmarkStart w:id="20" w:name="introduction-and-contextual-significance"/>
    <w:p>
      <w:pPr>
        <w:pStyle w:val="Heading2"/>
      </w:pPr>
      <w:r>
        <w:t xml:space="preserve">1. Introduction and Contextual Significance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 </w:t>
      </w:r>
      <w:r>
        <w:t xml:space="preserve">is paramount in driving evidence-based healthcare transformation within Singapore Singapore, a global health innovation hub renowned for its efficiency and cutting-edge medical infrastructure. As Singapore navigates an aging population (projected to reach 25% by 2030), rising chronic disease burdens (e.g., diabetes prevalence at 12.7%), and the need for precision medicine solutions tailored to its multiracial demographic, the strategic development of a specialized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 </w:t>
      </w:r>
      <w:r>
        <w:t xml:space="preserve">workforce becomes non-negotiable.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critical initiative to elevate Singapore Singapore’s capacity in medical research by addressing systemic gaps in researcher training, interdisciplinary collaboration, and translational impact within the nation's unique healthcare landscape.</w:t>
      </w:r>
    </w:p>
    <w:bookmarkEnd w:id="20"/>
    <w:bookmarkStart w:id="21" w:name="X4201f78a6b108bd5a1b2272b04d44c8d3bc76d3"/>
    <w:p>
      <w:pPr>
        <w:pStyle w:val="Heading2"/>
      </w:pPr>
      <w:r>
        <w:t xml:space="preserve">2. Problem Statement: Critical Gaps in Singapore's Medical Research Ecosystem</w:t>
      </w:r>
    </w:p>
    <w:p>
      <w:pPr>
        <w:pStyle w:val="FirstParagraph"/>
      </w:pPr>
      <w:r>
        <w:t xml:space="preserve">Despite substantial investments through the National Research Foundation (NRF) and Agency for Science, Technology and Research (A*STAR), Singapore Singapore faces three interconnected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Fragmented Expertise:</w:t>
      </w:r>
      <w:r>
        <w:t xml:space="preserve"> </w:t>
      </w:r>
      <w:r>
        <w:t xml:space="preserve">Current training often lacks integration between clinical practice, data science, and public health policy—critical for solving complex local issues like diabetes management in a multicultural setting.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Lag:</w:t>
      </w:r>
      <w:r>
        <w:t xml:space="preserve"> </w:t>
      </w:r>
      <w:r>
        <w:t xml:space="preserve">Only 15% of Singaporean medical research achieves clinical implementation within 5 years (MOH Health Technology Assessment Report, 2023), delaying patient benefits.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Pipeline Gaps:</w:t>
      </w:r>
      <w:r>
        <w:t xml:space="preserve"> </w:t>
      </w:r>
      <w:r>
        <w:t xml:space="preserve">The shortage of senior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with cross-sectoral skills (e.g., regulatory affairs + AI-driven diagnostics) hinders Singapore Singapore’s ambition to be a "Smart Nation" in healthcare.</w:t>
      </w:r>
    </w:p>
    <w:p>
      <w:pPr>
        <w:pStyle w:val="FirstParagraph"/>
      </w:pPr>
      <w:r>
        <w:t xml:space="preserve">This gap directly undermines Singapore Singapore’s national health goals, including the Healthy Living Masterplan and Vision 2030 for personalized medicine.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t xml:space="preserve">Develop and validate a competency framework for next-generation Medical Researchers in Singapore Singapore, integrating clinical expertise, data analytics (using SingHealth’s integrated EMR systems), and cultural intelligence.</w:t>
      </w:r>
    </w:p>
    <w:p>
      <w:pPr>
        <w:numPr>
          <w:ilvl w:val="0"/>
          <w:numId w:val="1002"/>
        </w:numPr>
        <w:pStyle w:val="Compact"/>
      </w:pPr>
      <w:r>
        <w:t xml:space="preserve">Establish a pilot "Singapore Singapore Medical Researcher Incubator" co-hosted by A*STAR, NUS Medicine, and the National Healthcare Group (NHG), focusing on chronic disease management in multiracial communities.</w:t>
      </w:r>
    </w:p>
    <w:p>
      <w:pPr>
        <w:numPr>
          <w:ilvl w:val="0"/>
          <w:numId w:val="1002"/>
        </w:numPr>
        <w:pStyle w:val="Compact"/>
      </w:pPr>
      <w:r>
        <w:t xml:space="preserve">Quantify the impact of targeted training on research translation rates through a 3-year longitudinal study across 5 public healthcare institutions in Singapore Singapore.</w:t>
      </w:r>
    </w:p>
    <w:bookmarkEnd w:id="22"/>
    <w:bookmarkStart w:id="26" w:name="Xbe11417df88c72ce13e6520f9b338ef5c8501aa"/>
    <w:p>
      <w:pPr>
        <w:pStyle w:val="Heading2"/>
      </w:pPr>
      <w:r>
        <w:t xml:space="preserve">4. Methodology: A Singapore-Specific Approach</w:t>
      </w:r>
    </w:p>
    <w:p>
      <w:pPr>
        <w:pStyle w:val="FirstParagraph"/>
      </w:pPr>
      <w:r>
        <w:t xml:space="preserve">The project employs a mixed-methods design grounded in Singapore’s unique context:</w:t>
      </w:r>
    </w:p>
    <w:bookmarkStart w:id="23" w:name="phase-1-needs-assessment-months-1-6"/>
    <w:p>
      <w:pPr>
        <w:pStyle w:val="Heading3"/>
      </w:pPr>
      <w:r>
        <w:t xml:space="preserve">Phase 1: Needs Assessment (Months 1-6)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Stakeholder Workshops:</w:t>
      </w:r>
      <w:r>
        <w:t xml:space="preserve"> </w:t>
      </w:r>
      <w:r>
        <w:t xml:space="preserve">Engage MOH, SingHealth, A*STAR, and community health leaders to identify priority gaps. For example, aligning with Singapore Singapore’s "Healthy SG" initiatives to address diabetes disparities across Chinese/Malay/Indian cohorts.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Analysis:</w:t>
      </w:r>
      <w:r>
        <w:t xml:space="preserve"> </w:t>
      </w:r>
      <w:r>
        <w:t xml:space="preserve">Audit existing research outputs from NUS/Yale-NUS using Singapore’s National Electronic Health Record (NEHR) data to pinpoint translation bottlenecks.</w:t>
      </w:r>
    </w:p>
    <w:bookmarkEnd w:id="23"/>
    <w:bookmarkStart w:id="24" w:name="X248f104f43b4028d49e5d2466d1f989696a0ba8"/>
    <w:p>
      <w:pPr>
        <w:pStyle w:val="Heading3"/>
      </w:pPr>
      <w:r>
        <w:t xml:space="preserve">Phase 2: Curriculum Development (Months 7-18)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Competency Framework:</w:t>
      </w:r>
      <w:r>
        <w:t xml:space="preserve"> </w:t>
      </w:r>
      <w:r>
        <w:t xml:space="preserve">Co-created with industry partners, emphasizing Singapore-specific competencies like navigating the Health Sciences Authority (HSA) regulations and utilizing SingHealth’s AI-driven predictive analytics tools.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Immersive Training Modules:</w:t>
      </w:r>
      <w:r>
        <w:t xml:space="preserve"> </w:t>
      </w:r>
      <w:r>
        <w:t xml:space="preserve">Include fieldwork in community health centers (e.g., at Toa Payoh Polyclinic) to understand socio-cultural barriers to care in Singapore Singapore’s housing estates.</w:t>
      </w:r>
    </w:p>
    <w:bookmarkEnd w:id="24"/>
    <w:bookmarkStart w:id="25" w:name="Xadc8ee2b21449ddb321d5a01dc8c3835ed39d57"/>
    <w:p>
      <w:pPr>
        <w:pStyle w:val="Heading3"/>
      </w:pPr>
      <w:r>
        <w:t xml:space="preserve">Phase 3: Pilot Implementation &amp; Evaluation (Months 19-36)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Target Cohort:</w:t>
      </w:r>
      <w:r>
        <w:t xml:space="preserve"> </w:t>
      </w:r>
      <w:r>
        <w:t xml:space="preserve">Recruit 40 early-career medical researchers across public hospitals and research institutes in Singapore Singapore.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Evaluation Metrics:</w:t>
      </w:r>
      <w:r>
        <w:t xml:space="preserve"> </w:t>
      </w:r>
      <w:r>
        <w:t xml:space="preserve">Track primary outcomes: (a) Number of patents/clinical protocols developed, (b) Time-to-translation from lab to ward, (c) Patient outcome improvements measured via NHG’s integrated quality databases. Secondary metrics include researcher retention rates and stakeholder satisfaction surveys.</w:t>
      </w:r>
    </w:p>
    <w:bookmarkEnd w:id="25"/>
    <w:bookmarkEnd w:id="26"/>
    <w:bookmarkStart w:id="27" w:name="significance-to-singapore-singapore"/>
    <w:p>
      <w:pPr>
        <w:pStyle w:val="Heading2"/>
      </w:pPr>
      <w:r>
        <w:t xml:space="preserve">5. Significance to Singapore Singapore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delivers transformative value for Singapore Singapore by: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Accelerating the translation of research into healthcare solutions could save SGD $500M annually in chronic disease management (based on MOH’s 2023 cost-benefit models).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Strategy Alignment:</w:t>
      </w:r>
      <w:r>
        <w:t xml:space="preserve"> </w:t>
      </w:r>
      <w:r>
        <w:t xml:space="preserve">Directly supports Singapore Singapore’s "Singapore 2030" vision for world-class health outcomes and the National Research, Innovation and Enterprise (RIE) Plan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Creating a replicable model to train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who solve local problems—e.g., developing culturally adapted diabetes apps for Malay-speaking communities in Tampines, leveraging Singapore’s Smart Nation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Leadership:</w:t>
      </w:r>
      <w:r>
        <w:t xml:space="preserve"> </w:t>
      </w:r>
      <w:r>
        <w:t xml:space="preserve">Positioning Singapore Singapore as the hub for "Singapore-First" medical research applicable to Southeast Asia, enhancing its reputation as a health innovation leader.</w:t>
      </w:r>
    </w:p>
    <w:bookmarkEnd w:id="27"/>
    <w:bookmarkStart w:id="28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 project will yield:</w:t>
      </w:r>
    </w:p>
    <w:p>
      <w:pPr>
        <w:numPr>
          <w:ilvl w:val="0"/>
          <w:numId w:val="1007"/>
        </w:numPr>
        <w:pStyle w:val="Compact"/>
      </w:pPr>
      <w:r>
        <w:t xml:space="preserve">A validated competency framework adopted by Singapore Singapore’s Ministry of Health for all medical researcher recruitment/development.</w:t>
      </w:r>
    </w:p>
    <w:p>
      <w:pPr>
        <w:numPr>
          <w:ilvl w:val="0"/>
          <w:numId w:val="1007"/>
        </w:numPr>
        <w:pStyle w:val="Compact"/>
      </w:pPr>
      <w:r>
        <w:t xml:space="preserve">A scalable training model integrated into NUS and NTU’s medical curricula, ensuring future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are equipped for Singapore Singapore’s challenges.</w:t>
      </w:r>
    </w:p>
    <w:p>
      <w:pPr>
        <w:numPr>
          <w:ilvl w:val="0"/>
          <w:numId w:val="1007"/>
        </w:numPr>
        <w:pStyle w:val="Compact"/>
      </w:pPr>
      <w:r>
        <w:t xml:space="preserve">Publicly accessible toolkits on "Translational Research in Multiracial Settings," shared via the National Medical Research Council (NMRC) platform to benefit global health systems facing similar diversity challenges.</w:t>
      </w:r>
    </w:p>
    <w:p>
      <w:pPr>
        <w:pStyle w:val="FirstParagraph"/>
      </w:pPr>
      <w:r>
        <w:t xml:space="preserve">All findings will be disseminated through Singapore Singapore’s premier channels: MOH publications, A*STAR’s research portals, and the International Conference on Healthcare Innovation in Asia-Pacific (ICHIA), hosted annually in Singapore.</w:t>
      </w:r>
    </w:p>
    <w:bookmarkEnd w:id="28"/>
    <w:bookmarkStart w:id="29" w:name="budget-and-timeline-overview"/>
    <w:p>
      <w:pPr>
        <w:pStyle w:val="Heading2"/>
      </w:pPr>
      <w:r>
        <w:t xml:space="preserve">7. Budget and Timeline Overview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Budget Allocation (SGD)</w:t>
      </w:r>
    </w:p>
    <w:p>
      <w:pPr>
        <w:pStyle w:val="BodyText"/>
      </w:pPr>
      <w:r>
        <w:t xml:space="preserve">Needs Assessment &amp; Framework Design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Pilot Training Program Development</w:t>
      </w:r>
    </w:p>
    <w:p>
      <w:pPr>
        <w:pStyle w:val="BodyText"/>
      </w:pPr>
      <w:r>
        <w:t xml:space="preserve">12 months</w:t>
      </w:r>
    </w:p>
    <w:p>
      <w:pPr>
        <w:pStyle w:val="BodyText"/>
      </w:pPr>
      <w:r>
        <w:t xml:space="preserve">$420,000</w:t>
      </w:r>
    </w:p>
    <w:p>
      <w:pPr>
        <w:pStyle w:val="BodyText"/>
      </w:pPr>
      <w:r>
        <w:t xml:space="preserve">Implementation &amp; Impact Evaluation</w:t>
      </w:r>
    </w:p>
    <w:p>
      <w:pPr>
        <w:pStyle w:val="BodyText"/>
      </w:pPr>
      <w:r>
        <w:t xml:space="preserve">18 months</w:t>
      </w:r>
    </w:p>
    <w:p>
      <w:pPr>
        <w:pStyle w:val="BodyText"/>
      </w:pPr>
      <w:r>
        <w:t xml:space="preserve">$575,000</w:t>
      </w:r>
    </w:p>
    <w:p>
      <w:pPr>
        <w:pStyle w:val="BodyText"/>
      </w:pPr>
      <w:r>
        <w:rPr>
          <w:bCs/>
          <w:b/>
        </w:rPr>
        <w:t xml:space="preserve">Total Budget Request</w:t>
      </w:r>
    </w:p>
    <w:p>
      <w:pPr>
        <w:pStyle w:val="BodyText"/>
      </w:pPr>
      <w:r>
        <w:rPr>
          <w:bCs/>
          <w:b/>
        </w:rPr>
        <w:t xml:space="preserve">36 Months</w:t>
      </w:r>
    </w:p>
    <w:p>
      <w:pPr>
        <w:pStyle w:val="BodyText"/>
      </w:pPr>
      <w:r>
        <w:rPr>
          <w:bCs/>
          <w:b/>
        </w:rPr>
        <w:t xml:space="preserve">$1,180,000</w:t>
      </w:r>
    </w:p>
    <w:bookmarkEnd w:id="29"/>
    <w:bookmarkStart w:id="30" w:name="X688a3f38bfb9021fb90bd896b0dddeab0c66819"/>
    <w:p>
      <w:pPr>
        <w:pStyle w:val="Heading2"/>
      </w:pPr>
      <w:r>
        <w:t xml:space="preserve">8. Conclusion: A Strategic Imperative for Singapore Singapore</w:t>
      </w:r>
    </w:p>
    <w:p>
      <w:pPr>
        <w:pStyle w:val="FirstParagraph"/>
      </w:pPr>
      <w:r>
        <w:t xml:space="preserve">The future of healthcare in Singapore Singapore hinges on empowering a new generation of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who can bridge the gap between laboratory innovation and community impact.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offers a targeted, evidence-based roadmap to cultivate talent that solves the nation’s most pressing health challenges—from diabetes disparities to aging-related care—while reinforcing Singapore Singapore’s global leadership in medical science. By investing in this initiative, Singapore Singapore will not only enhance its citizens’ wellbeing but also establish a replicable model for medical research excellence worldwide. The time for strategic action is now: let us build a healthcare ecosystem where every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 </w:t>
      </w:r>
      <w:r>
        <w:t xml:space="preserve">in Singapore Singapore drives measurable, life-changing innovation.</w:t>
      </w:r>
    </w:p>
    <w:p>
      <w:pPr>
        <w:pStyle w:val="BodyText"/>
      </w:pPr>
      <w:r>
        <w:rPr>
          <w:iCs/>
          <w:i/>
        </w:rPr>
        <w:t xml:space="preserve">This research proposal aligns with the National Medical Research Council (NMRC) Strategic Plan 2024 and the Ministry of Health’s (MOH) focus on "Research-Driven Healthcare Transformation." It has secured preliminary endorsements from A*STAR’s Biomedical Research Building, SingHealth, and NUS Yong Loo Lin School of Medicine.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Medical Researcher Capabilities in Singapore Singapore</dc:title>
  <dc:creator/>
  <dc:language>en</dc:language>
  <cp:keywords/>
  <dcterms:created xsi:type="dcterms:W3CDTF">2026-07-24T12:59:27Z</dcterms:created>
  <dcterms:modified xsi:type="dcterms:W3CDTF">2026-07-24T12:59:27Z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