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6a94b8693a6c758a65b8c813a10cd09d7e708a4"/>
    <w:p>
      <w:pPr>
        <w:pStyle w:val="Heading1"/>
      </w:pPr>
      <w:r>
        <w:t xml:space="preserve">Research Proposal: Advancing Precision Medicine in United Arab Emirates Abu Dhabi through Innovative Medical Research</w:t>
      </w:r>
    </w:p>
    <w:bookmarkStart w:id="20" w:name="X7d3939d1cb50b011ead4b259c6cfaeceee61e46"/>
    <w:p>
      <w:pPr>
        <w:pStyle w:val="Heading2"/>
      </w:pPr>
      <w:r>
        <w:t xml:space="preserve">I. Introduction and Contextual Background</w:t>
      </w:r>
    </w:p>
    <w:p>
      <w:pPr>
        <w:pStyle w:val="FirstParagraph"/>
      </w:pPr>
      <w:r>
        <w:t xml:space="preserve">The United Arab Emirates, particularly Abu Dhabi, has established itself as a pioneering hub for healthcare innovation within the Middle East. As the capital of the UAE, Abu Dhabi leads national strategic initiatives like "Abu Dhabi Vision 2030" and "UAE Health Strategy 2031," which prioritize cutting-edge medical research to address both regional health challenges and global health priorities. This Research Proposal outlines a critical initiative requiring a highly skilled</w:t>
      </w:r>
      <w:r>
        <w:t xml:space="preserve"> </w:t>
      </w:r>
      <w:r>
        <w:rPr>
          <w:bCs/>
          <w:b/>
        </w:rPr>
        <w:t xml:space="preserve">Medical Researcher</w:t>
      </w:r>
      <w:r>
        <w:t xml:space="preserve"> </w:t>
      </w:r>
      <w:r>
        <w:t xml:space="preserve">to spearhead precision medicine advancements tailored to the unique genetic, environmental, and lifestyle factors of Abu Dhabi's diverse population. With chronic diseases like diabetes (affecting 19% of UAE adults) and cardiovascular conditions rising at alarming rates—exceeding global averages—there is an urgent need for locally relevant biomedical research that directly supports Abu Dhabi's healthcare transformation goals.</w:t>
      </w:r>
    </w:p>
    <w:bookmarkEnd w:id="20"/>
    <w:bookmarkStart w:id="21" w:name="ii.-problem-statement"/>
    <w:p>
      <w:pPr>
        <w:pStyle w:val="Heading2"/>
      </w:pPr>
      <w:r>
        <w:t xml:space="preserve">II. Problem Statement</w:t>
      </w:r>
    </w:p>
    <w:p>
      <w:pPr>
        <w:pStyle w:val="FirstParagraph"/>
      </w:pPr>
      <w:r>
        <w:t xml:space="preserve">Current healthcare interventions in the United Arab Emirates Abu Dhabi often employ a "one-size-fits-all" approach, failing to account for genetic predispositions prevalent among Gulf populations. For instance, studies indicate that Emiratis exhibit higher susceptibility to certain drug metabolisms and disease manifestations compared to Western cohorts. This gap results in suboptimal treatment efficacy, increased healthcare costs (estimated at AED 35 billion annually for chronic diseases), and missed opportunities to prevent conditions through early genomic screening. Without context-specific research, Abu Dhabi's ambition to become a global leader in personalized healthcare remains unrealized. The absence of a dedicated</w:t>
      </w:r>
      <w:r>
        <w:t xml:space="preserve"> </w:t>
      </w:r>
      <w:r>
        <w:rPr>
          <w:bCs/>
          <w:b/>
        </w:rPr>
        <w:t xml:space="preserve">Medical Researcher</w:t>
      </w:r>
      <w:r>
        <w:t xml:space="preserve"> </w:t>
      </w:r>
      <w:r>
        <w:t xml:space="preserve">with expertise in genomics, data science, and Middle Eastern epidemiology has hindered the implementation of evidence-based precision medicine frameworks within Abu Dhabi Health Services.</w:t>
      </w:r>
    </w:p>
    <w:bookmarkEnd w:id="21"/>
    <w:bookmarkStart w:id="22" w:name="iii.-research-objectives"/>
    <w:p>
      <w:pPr>
        <w:pStyle w:val="Heading2"/>
      </w:pPr>
      <w:r>
        <w:t xml:space="preserve">III. Research Objectives</w:t>
      </w:r>
    </w:p>
    <w:p>
      <w:pPr>
        <w:pStyle w:val="FirstParagraph"/>
      </w:pPr>
      <w:r>
        <w:t xml:space="preserve">This proposal outlines three interconnected objectives for the</w:t>
      </w:r>
      <w:r>
        <w:t xml:space="preserve"> </w:t>
      </w:r>
      <w:r>
        <w:rPr>
          <w:bCs/>
          <w:b/>
        </w:rPr>
        <w:t xml:space="preserve">Medical Researcher</w:t>
      </w:r>
      <w:r>
        <w:t xml:space="preserve">:</w:t>
      </w:r>
    </w:p>
    <w:p>
      <w:pPr>
        <w:numPr>
          <w:ilvl w:val="0"/>
          <w:numId w:val="1001"/>
        </w:numPr>
        <w:pStyle w:val="Compact"/>
      </w:pPr>
      <w:r>
        <w:rPr>
          <w:iCs/>
          <w:i/>
        </w:rPr>
        <w:t xml:space="preserve">Establish a Comprehensive Genomic Database</w:t>
      </w:r>
      <w:r>
        <w:t xml:space="preserve">: Develop an Abu Dhabi-specific biobank with genomic, proteomic, and lifestyle data from 10,000 diverse participants across Emirati and expatriate communities to identify regionally significant disease markers.</w:t>
      </w:r>
    </w:p>
    <w:p>
      <w:pPr>
        <w:numPr>
          <w:ilvl w:val="0"/>
          <w:numId w:val="1001"/>
        </w:numPr>
        <w:pStyle w:val="Compact"/>
      </w:pPr>
      <w:r>
        <w:rPr>
          <w:iCs/>
          <w:i/>
        </w:rPr>
        <w:t xml:space="preserve">Design Precision Intervention Protocols</w:t>
      </w:r>
      <w:r>
        <w:t xml:space="preserve">: Create tailored diagnostic algorithms for diabetes and cardiovascular diseases using AI-driven analysis of the genomic database, validated through clinical trials at Abu Dhabi’s academic medical centers (e.g., Khalifa University Hospital and Tawam Hospital).</w:t>
      </w:r>
    </w:p>
    <w:bookmarkEnd w:id="22"/>
    <w:bookmarkStart w:id="23" w:name="iv.-methodology"/>
    <w:p>
      <w:pPr>
        <w:pStyle w:val="Heading2"/>
      </w:pPr>
      <w:r>
        <w:t xml:space="preserve">IV. Methodology</w:t>
      </w:r>
    </w:p>
    <w:p>
      <w:pPr>
        <w:pStyle w:val="FirstParagraph"/>
      </w:pPr>
      <w:r>
        <w:t xml:space="preserve">The proposed methodology integrates cutting-edge technology with Abu Dhabi’s healthcare infrastructure. The</w:t>
      </w:r>
      <w:r>
        <w:t xml:space="preserve"> </w:t>
      </w:r>
      <w:r>
        <w:rPr>
          <w:bCs/>
          <w:b/>
        </w:rPr>
        <w:t xml:space="preserve">Medical Researcher</w:t>
      </w:r>
      <w:r>
        <w:t xml:space="preserve"> </w:t>
      </w:r>
      <w:r>
        <w:t xml:space="preserve">will:</w:t>
      </w:r>
    </w:p>
    <w:p>
      <w:pPr>
        <w:numPr>
          <w:ilvl w:val="0"/>
          <w:numId w:val="1002"/>
        </w:numPr>
        <w:pStyle w:val="Compact"/>
      </w:pPr>
      <w:r>
        <w:rPr>
          <w:bCs/>
          <w:b/>
        </w:rPr>
        <w:t xml:space="preserve">Data Collection Phase (Months 1-18)</w:t>
      </w:r>
      <w:r>
        <w:t xml:space="preserve">: Partner with Abu Dhabi Department of Health to recruit participants across all emirate regions, collecting anonymized genomic samples, electronic health records (EHRs), and environmental exposure data via mobile health units. Ethical approval will be secured from the Abu Dhabi Health Services’ Institutional Review Board.</w:t>
      </w:r>
    </w:p>
    <w:p>
      <w:pPr>
        <w:numPr>
          <w:ilvl w:val="0"/>
          <w:numId w:val="1002"/>
        </w:numPr>
        <w:pStyle w:val="Compact"/>
      </w:pPr>
      <w:r>
        <w:rPr>
          <w:bCs/>
          <w:b/>
        </w:rPr>
        <w:t xml:space="preserve">Analysis Phase (Months 19-30)</w:t>
      </w:r>
      <w:r>
        <w:t xml:space="preserve">: Utilize AI platforms like Abu Dhabi’s "Ghadeer" Cloud to correlate genomic variants with disease phenotypes, focusing on polymorphisms linked to insulin resistance and hypertension in Arab populations (e.g., SLC22A4 gene variants).</w:t>
      </w:r>
    </w:p>
    <w:p>
      <w:pPr>
        <w:numPr>
          <w:ilvl w:val="0"/>
          <w:numId w:val="1002"/>
        </w:numPr>
        <w:pStyle w:val="Compact"/>
      </w:pPr>
      <w:r>
        <w:rPr>
          <w:bCs/>
          <w:b/>
        </w:rPr>
        <w:t xml:space="preserve">Implementation Phase (Months 31-48)</w:t>
      </w:r>
      <w:r>
        <w:t xml:space="preserve">: Pilot diagnostic protocols at Abu Dhabi’s primary healthcare centers, measuring outcomes like treatment adherence rates and complication reduction. Success metrics include a 30% improvement in early disease detection versus standard care.</w:t>
      </w:r>
    </w:p>
    <w:bookmarkEnd w:id="23"/>
    <w:bookmarkStart w:id="24" w:name="v.-expected-outcomes-and-significance"/>
    <w:p>
      <w:pPr>
        <w:pStyle w:val="Heading2"/>
      </w:pPr>
      <w:r>
        <w:t xml:space="preserve">V. Expected Outcomes and Significance</w:t>
      </w:r>
    </w:p>
    <w:p>
      <w:pPr>
        <w:pStyle w:val="FirstParagraph"/>
      </w:pPr>
      <w:r>
        <w:t xml:space="preserve">Completion of this research will yield transformative outcomes for the United Arab Emirates Abu Dhabi:</w:t>
      </w:r>
    </w:p>
    <w:p>
      <w:pPr>
        <w:numPr>
          <w:ilvl w:val="0"/>
          <w:numId w:val="1003"/>
        </w:numPr>
        <w:pStyle w:val="Compact"/>
      </w:pPr>
      <w:r>
        <w:rPr>
          <w:iCs/>
          <w:i/>
        </w:rPr>
        <w:t xml:space="preserve">Health Impact</w:t>
      </w:r>
      <w:r>
        <w:t xml:space="preserve">: A regionally validated diagnostic tool reducing diabetes complications by 25% within five years, directly supporting Abu Dhabi’s "Healthy Cities" initiative.</w:t>
      </w:r>
    </w:p>
    <w:p>
      <w:pPr>
        <w:numPr>
          <w:ilvl w:val="0"/>
          <w:numId w:val="1003"/>
        </w:numPr>
        <w:pStyle w:val="Compact"/>
      </w:pPr>
      <w:r>
        <w:rPr>
          <w:iCs/>
          <w:i/>
        </w:rPr>
        <w:t xml:space="preserve">Economic Value</w:t>
      </w:r>
      <w:r>
        <w:t xml:space="preserve">: Projected savings of AED 4.7 billion annually through reduced hospitalizations and personalized treatment optimization, aligning with the UAE's National Economic Vision.</w:t>
      </w:r>
    </w:p>
    <w:p>
      <w:pPr>
        <w:numPr>
          <w:ilvl w:val="0"/>
          <w:numId w:val="1003"/>
        </w:numPr>
        <w:pStyle w:val="Compact"/>
      </w:pPr>
      <w:r>
        <w:rPr>
          <w:iCs/>
          <w:i/>
        </w:rPr>
        <w:t xml:space="preserve">Global Contribution</w:t>
      </w:r>
      <w:r>
        <w:t xml:space="preserve">: The genomic database will become a reference resource for Middle Eastern health research, enhancing Abu Dhabi’s reputation as a medical research epicenter.</w:t>
      </w:r>
    </w:p>
    <w:p>
      <w:pPr>
        <w:numPr>
          <w:ilvl w:val="0"/>
          <w:numId w:val="1003"/>
        </w:numPr>
        <w:pStyle w:val="Compact"/>
      </w:pPr>
      <w:r>
        <w:rPr>
          <w:iCs/>
          <w:i/>
        </w:rPr>
        <w:t xml:space="preserve">Capacity Building</w:t>
      </w:r>
      <w:r>
        <w:t xml:space="preserve">: The training component will establish Abu Dhabi as the MENA hub for genomics education, with 80% of trained scientists retaining roles within the emirate’s healthcare ecosystem.</w:t>
      </w:r>
    </w:p>
    <w:bookmarkEnd w:id="24"/>
    <w:bookmarkStart w:id="25" w:name="X588f2eb0b6e7a15b7156de8c0455f0f81596d94"/>
    <w:p>
      <w:pPr>
        <w:pStyle w:val="Heading2"/>
      </w:pPr>
      <w:r>
        <w:t xml:space="preserve">VI. Alignment with Abu Dhabi and UAE Strategic Frameworks</w:t>
      </w:r>
    </w:p>
    <w:p>
      <w:pPr>
        <w:pStyle w:val="FirstParagraph"/>
      </w:pPr>
      <w:r>
        <w:t xml:space="preserve">This Research Proposal directly advances key national priorities:</w:t>
      </w:r>
    </w:p>
    <w:p>
      <w:pPr>
        <w:numPr>
          <w:ilvl w:val="0"/>
          <w:numId w:val="1004"/>
        </w:numPr>
        <w:pStyle w:val="Compact"/>
      </w:pPr>
      <w:r>
        <w:t xml:space="preserve">Complements the "Abu Dhabi Health Strategy 2031" pillar on "Innovation in Healthcare Delivery," specifically Target 4.7: "Integrate genomics into routine clinical care."</w:t>
      </w:r>
    </w:p>
    <w:p>
      <w:pPr>
        <w:numPr>
          <w:ilvl w:val="0"/>
          <w:numId w:val="1004"/>
        </w:numPr>
        <w:pStyle w:val="Compact"/>
      </w:pPr>
      <w:r>
        <w:t xml:space="preserve">Supports the UAE National Strategy for Artificial Intelligence (2031), leveraging Abu Dhabi’s existing AI infrastructure at the Abu Dhabi Investment Office.</w:t>
      </w:r>
    </w:p>
    <w:p>
      <w:pPr>
        <w:numPr>
          <w:ilvl w:val="0"/>
          <w:numId w:val="1004"/>
        </w:numPr>
        <w:pStyle w:val="Compact"/>
      </w:pPr>
      <w:r>
        <w:t xml:space="preserve">Addresses UN Sustainable Development Goal 3.8 (universal health coverage) by making precision medicine accessible across socio-economic strata in Abu Dhabi.</w:t>
      </w:r>
    </w:p>
    <w:bookmarkEnd w:id="25"/>
    <w:bookmarkStart w:id="26" w:name="vii.-role-of-the-medical-researcher"/>
    <w:p>
      <w:pPr>
        <w:pStyle w:val="Heading2"/>
      </w:pPr>
      <w:r>
        <w:t xml:space="preserve">VII. Role of the Medical Researcher</w:t>
      </w:r>
    </w:p>
    <w:p>
      <w:pPr>
        <w:pStyle w:val="FirstParagraph"/>
      </w:pPr>
      <w:r>
        <w:t xml:space="preserve">The appointed</w:t>
      </w:r>
      <w:r>
        <w:t xml:space="preserve"> </w:t>
      </w:r>
      <w:r>
        <w:rPr>
          <w:bCs/>
          <w:b/>
        </w:rPr>
        <w:t xml:space="preserve">Medical Researcher</w:t>
      </w:r>
      <w:r>
        <w:t xml:space="preserve"> </w:t>
      </w:r>
      <w:r>
        <w:t xml:space="preserve">will serve as the scientific lead, bridging Abu Dhabi’s clinical facilities with global research networks. This role requires:</w:t>
      </w:r>
    </w:p>
    <w:p>
      <w:pPr>
        <w:numPr>
          <w:ilvl w:val="0"/>
          <w:numId w:val="1005"/>
        </w:numPr>
        <w:pStyle w:val="Compact"/>
      </w:pPr>
      <w:r>
        <w:t xml:space="preserve">Expertise in translational genomics and experience with Arab population studies.</w:t>
      </w:r>
    </w:p>
    <w:p>
      <w:pPr>
        <w:numPr>
          <w:ilvl w:val="0"/>
          <w:numId w:val="1005"/>
        </w:numPr>
        <w:pStyle w:val="Compact"/>
      </w:pPr>
      <w:r>
        <w:t xml:space="preserve">Leadership to coordinate stakeholders: Abu Dhabi Health Services, Tawam Hospital, Khalifa University, and UAE Ministry of Health.</w:t>
      </w:r>
    </w:p>
    <w:p>
      <w:pPr>
        <w:numPr>
          <w:ilvl w:val="0"/>
          <w:numId w:val="1005"/>
        </w:numPr>
        <w:pStyle w:val="Compact"/>
      </w:pPr>
      <w:r>
        <w:t xml:space="preserve">Ability to navigate cultural nuances in community engagement—a critical factor for participant recruitment across diverse Emirati communities.</w:t>
      </w:r>
    </w:p>
    <w:bookmarkEnd w:id="26"/>
    <w:bookmarkStart w:id="27" w:name="viii.-timeline-and-resource-requirements"/>
    <w:p>
      <w:pPr>
        <w:pStyle w:val="Heading2"/>
      </w:pPr>
      <w:r>
        <w:t xml:space="preserve">VIII. Timeline and Resource Requirements</w:t>
      </w:r>
    </w:p>
    <w:p>
      <w:pPr>
        <w:pStyle w:val="FirstParagraph"/>
      </w:pPr>
      <w:r>
        <w:t xml:space="preserve">The 48-month project requires a multidisciplinary team including bioinformaticians, clinical coordinators, and ethics specialists. Key milestones include:</w:t>
      </w:r>
    </w:p>
    <w:p>
      <w:pPr>
        <w:numPr>
          <w:ilvl w:val="0"/>
          <w:numId w:val="1006"/>
        </w:numPr>
        <w:pStyle w:val="Compact"/>
      </w:pPr>
      <w:r>
        <w:rPr>
          <w:bCs/>
          <w:b/>
        </w:rPr>
        <w:t xml:space="preserve">Months 1-6</w:t>
      </w:r>
      <w:r>
        <w:t xml:space="preserve">: Ethics approval, stakeholder MOUs, and participant recruitment framework.</w:t>
      </w:r>
    </w:p>
    <w:p>
      <w:pPr>
        <w:numPr>
          <w:ilvl w:val="0"/>
          <w:numId w:val="1006"/>
        </w:numPr>
        <w:pStyle w:val="Compact"/>
      </w:pPr>
      <w:r>
        <w:rPr>
          <w:bCs/>
          <w:b/>
        </w:rPr>
        <w:t xml:space="preserve">Months 7-24</w:t>
      </w:r>
      <w:r>
        <w:t xml:space="preserve">: Biobank establishment and preliminary genomic analysis.</w:t>
      </w:r>
    </w:p>
    <w:p>
      <w:pPr>
        <w:numPr>
          <w:ilvl w:val="0"/>
          <w:numId w:val="1006"/>
        </w:numPr>
        <w:pStyle w:val="Compact"/>
      </w:pPr>
      <w:r>
        <w:rPr>
          <w:bCs/>
          <w:b/>
        </w:rPr>
        <w:t xml:space="preserve">Months 25-36</w:t>
      </w:r>
      <w:r>
        <w:t xml:space="preserve">: AI model development and pilot clinical validation.</w:t>
      </w:r>
    </w:p>
    <w:p>
      <w:pPr>
        <w:numPr>
          <w:ilvl w:val="0"/>
          <w:numId w:val="1006"/>
        </w:numPr>
        <w:pStyle w:val="Compact"/>
      </w:pPr>
      <w:r>
        <w:rPr>
          <w:bCs/>
          <w:b/>
        </w:rPr>
        <w:t xml:space="preserve">Months 37-48</w:t>
      </w:r>
      <w:r>
        <w:t xml:space="preserve">: Protocol scaling, impact assessment, and knowledge transfer to Abu Dhabi health authorities.</w:t>
      </w:r>
    </w:p>
    <w:bookmarkEnd w:id="27"/>
    <w:bookmarkStart w:id="28" w:name="X96afd147b25c82a1fb0e71a64e2086441be6976"/>
    <w:p>
      <w:pPr>
        <w:pStyle w:val="Heading2"/>
      </w:pPr>
      <w:r>
        <w:t xml:space="preserve">IX. Conclusion: A Strategic Imperative for Abu Dhabi’s Medical Future</w:t>
      </w:r>
    </w:p>
    <w:p>
      <w:pPr>
        <w:pStyle w:val="FirstParagraph"/>
      </w:pPr>
      <w:r>
        <w:t xml:space="preserve">The United Arab Emirates Abu Dhabi stands at a pivotal moment where strategic investment in precision medicine can redefine regional healthcare standards. This Research Proposal presents a meticulously designed path to harness genomic science for the benefit of Abu Dhabi residents, while simultaneously positioning the emirate as a beacon of medical innovation. The role of the</w:t>
      </w:r>
      <w:r>
        <w:t xml:space="preserve"> </w:t>
      </w:r>
      <w:r>
        <w:rPr>
          <w:bCs/>
          <w:b/>
        </w:rPr>
        <w:t xml:space="preserve">Medical Researcher</w:t>
      </w:r>
      <w:r>
        <w:t xml:space="preserve"> </w:t>
      </w:r>
      <w:r>
        <w:t xml:space="preserve">is not merely academic—it is central to achieving Abu Dhabi’s vision of becoming a global health destination where evidence-based, culturally attuned care is accessible to all. By funding this initiative, stakeholders will catalyze economic growth through healthcare exports (e.g., genomic diagnostic kits), attract international research partnerships, and ultimately save lives. The time for action is now: Abu Dhabi must lead in transforming medical research from theory to tangible health equity. This Research Proposal represents the first step toward a healthier, more resilient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United Arab Emirates Abu Dhabi</dc:title>
  <dc:creator/>
  <dc:language>en</dc:language>
  <cp:keywords/>
  <dcterms:created xsi:type="dcterms:W3CDTF">2026-07-24T11:54:43Z</dcterms:created>
  <dcterms:modified xsi:type="dcterms:W3CDTF">2026-07-24T11:54:43Z</dcterms:modified>
</cp:coreProperties>
</file>

<file path=docProps/custom.xml><?xml version="1.0" encoding="utf-8"?>
<Properties xmlns="http://schemas.openxmlformats.org/officeDocument/2006/custom-properties" xmlns:vt="http://schemas.openxmlformats.org/officeDocument/2006/docPropsVTypes"/>
</file>