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Health</w:t>
      </w:r>
      <w:r>
        <w:t xml:space="preserve"> </w:t>
      </w:r>
      <w:r>
        <w:t xml:space="preserve">Disparities</w:t>
      </w:r>
      <w:r>
        <w:t xml:space="preserve"> </w:t>
      </w:r>
      <w:r>
        <w:t xml:space="preserve">Through</w:t>
      </w:r>
      <w:r>
        <w:t xml:space="preserve"> </w:t>
      </w:r>
      <w:r>
        <w:t xml:space="preserve">Community-Centered</w:t>
      </w:r>
      <w:r>
        <w:t xml:space="preserve"> </w:t>
      </w:r>
      <w:r>
        <w:t xml:space="preserve">Diabetes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a466f6072281d67aa6672f1bd0bede23a9636af"/>
    <w:p>
      <w:pPr>
        <w:pStyle w:val="Heading1"/>
      </w:pPr>
      <w:r>
        <w:t xml:space="preserve">Research Proposal: A Medical Researcher's Initiative for Precision Public Health Interventions in United States Miami</w:t>
      </w:r>
    </w:p>
    <w:p>
      <w:pPr>
        <w:pStyle w:val="FirstParagraph"/>
      </w:pPr>
      <w:r>
        <w:rPr>
          <w:bCs/>
          <w:b/>
        </w:rPr>
        <w:t xml:space="preserve">Introduction and Context</w:t>
      </w:r>
    </w:p>
    <w:p>
      <w:pPr>
        <w:pStyle w:val="BodyText"/>
      </w:pPr>
      <w:r>
        <w:t xml:space="preserve">The United States Miami region presents a unique confluence of epidemiological challenges, cultural diversity, and healthcare system dynamics that demand specialized research attention. As a Medical Researcher deeply committed to translational health science within urban environments, this proposal outlines a targeted investigation addressing type 2 diabetes—a condition disproportionately affecting Miami's predominantly Hispanic/Latinx and Black populations. With Miami-Dade County reporting a diabetes prevalence rate of 14.3%, significantly higher than the national average of 9.6% (CDC, 2023), the urgency for context-specific interventions is undeniable. This</w:t>
      </w:r>
      <w:r>
        <w:t xml:space="preserve"> </w:t>
      </w:r>
      <w:r>
        <w:rPr>
          <w:bCs/>
          <w:b/>
        </w:rPr>
        <w:t xml:space="preserve">Research Proposal</w:t>
      </w:r>
      <w:r>
        <w:t xml:space="preserve"> </w:t>
      </w:r>
      <w:r>
        <w:t xml:space="preserve">details a comprehensive study designed to develop and validate culturally responsive digital health tools for diabetes management within the</w:t>
      </w:r>
      <w:r>
        <w:t xml:space="preserve"> </w:t>
      </w:r>
      <w:r>
        <w:rPr>
          <w:bCs/>
          <w:b/>
        </w:rPr>
        <w:t xml:space="preserve">United States Miami</w:t>
      </w:r>
      <w:r>
        <w:t xml:space="preserve"> </w:t>
      </w:r>
      <w:r>
        <w:t xml:space="preserve">community, positioning the role of a dedicated</w:t>
      </w:r>
      <w:r>
        <w:t xml:space="preserve"> </w:t>
      </w:r>
      <w:r>
        <w:rPr>
          <w:bCs/>
          <w:b/>
        </w:rPr>
        <w:t xml:space="preserve">Medical Researcher</w:t>
      </w:r>
      <w:r>
        <w:t xml:space="preserve"> </w:t>
      </w:r>
      <w:r>
        <w:t xml:space="preserve">as central to its execution.</w:t>
      </w:r>
    </w:p>
    <w:p>
      <w:pPr>
        <w:pStyle w:val="BodyText"/>
      </w:pPr>
      <w:r>
        <w:rPr>
          <w:bCs/>
          <w:b/>
        </w:rPr>
        <w:t xml:space="preserve">The Miami-Specific Health Disparity Problem Statement</w:t>
      </w:r>
    </w:p>
    <w:p>
      <w:pPr>
        <w:pStyle w:val="BodyText"/>
      </w:pPr>
      <w:r>
        <w:t xml:space="preserve">Miami's demographic landscape—over 70% Hispanic/Latinx and 25% Black residents—creates distinct barriers to effective chronic disease management. Language discordance, socioeconomic disparities (17.6% of Miami-Dade residents live below the poverty line), and limited access to culturally competent care contribute to higher rates of diabetes complications (e.g., kidney failure, amputations) compared to national averages. Current interventions often fail in this context due to a "one-size-fits-all" approach that ignores cultural dietary practices (e.g., reliance on rice, beans, and specific traditional foods), transportation challenges in sprawling neighborhoods like Little Havana or Overtown, and distrust of medical systems historically under-serving minority communities. This gap underscores the critical need for</w:t>
      </w:r>
      <w:r>
        <w:t xml:space="preserve"> </w:t>
      </w:r>
      <w:r>
        <w:rPr>
          <w:bCs/>
          <w:b/>
        </w:rPr>
        <w:t xml:space="preserve">Medical Researcher</w:t>
      </w:r>
      <w:r>
        <w:t xml:space="preserve">-led innovation rooted in Miami's reality.</w:t>
      </w:r>
    </w:p>
    <w:p>
      <w:pPr>
        <w:pStyle w:val="BodyText"/>
      </w:pPr>
      <w:r>
        <w:rPr>
          <w:bCs/>
          <w:b/>
        </w:rPr>
        <w:t xml:space="preserve">Research Objectives: A Miami-Centric Framework</w:t>
      </w:r>
    </w:p>
    <w:p>
      <w:pPr>
        <w:pStyle w:val="BodyText"/>
      </w:pPr>
      <w:r>
        <w:t xml:space="preserve">This project establishes three interconnected objectives, all designed to leverage Miami’s unique assets:</w:t>
      </w:r>
    </w:p>
    <w:p>
      <w:pPr>
        <w:numPr>
          <w:ilvl w:val="0"/>
          <w:numId w:val="1001"/>
        </w:numPr>
        <w:pStyle w:val="Compact"/>
      </w:pPr>
      <w:r>
        <w:rPr>
          <w:iCs/>
          <w:i/>
        </w:rPr>
        <w:t xml:space="preserve">Develop a Culturally Adapted Mobile Health (mHealth) Platform</w:t>
      </w:r>
      <w:r>
        <w:t xml:space="preserve">: Co-design an app with community health workers (CHWs) from Miami-based organizations like the Latin American Association and the Urban League of Greater Miami. The platform will integrate traditional food databases, Spanish/English language support, and location-based resource mapping for affordable insulin access points in underserved neighborhoods.</w:t>
      </w:r>
    </w:p>
    <w:p>
      <w:pPr>
        <w:numPr>
          <w:ilvl w:val="0"/>
          <w:numId w:val="1001"/>
        </w:numPr>
        <w:pStyle w:val="Compact"/>
      </w:pPr>
      <w:r>
        <w:rPr>
          <w:iCs/>
          <w:i/>
        </w:rPr>
        <w:t xml:space="preserve">Validate Impact on Glycemic Control</w:t>
      </w:r>
      <w:r>
        <w:t xml:space="preserve">: Conduct a 12-month randomized controlled trial (RCT) with 300 participants across Miami-Dade’s high-prevalence zip codes. Primary outcomes include HbA1c reduction and medication adherence, measured against standard care protocols within</w:t>
      </w:r>
      <w:r>
        <w:t xml:space="preserve"> </w:t>
      </w:r>
      <w:r>
        <w:rPr>
          <w:bCs/>
          <w:b/>
        </w:rPr>
        <w:t xml:space="preserve">United States Miami</w:t>
      </w:r>
      <w:r>
        <w:t xml:space="preserve">'s public health infrastructure (e.g., Jackson Memorial Hospital network).</w:t>
      </w:r>
    </w:p>
    <w:p>
      <w:pPr>
        <w:pStyle w:val="FirstParagraph"/>
      </w:pPr>
      <w:r>
        <w:rPr>
          <w:bCs/>
          <w:b/>
        </w:rPr>
        <w:t xml:space="preserve">Methodology: Embedding the Medical Researcher within Miami's Ecosystem</w:t>
      </w:r>
    </w:p>
    <w:p>
      <w:pPr>
        <w:pStyle w:val="BodyText"/>
      </w:pPr>
      <w:r>
        <w:t xml:space="preserve">The role of the</w:t>
      </w:r>
      <w:r>
        <w:t xml:space="preserve"> </w:t>
      </w:r>
      <w:r>
        <w:rPr>
          <w:bCs/>
          <w:b/>
        </w:rPr>
        <w:t xml:space="preserve">Medical Researcher</w:t>
      </w:r>
      <w:r>
        <w:t xml:space="preserve"> </w:t>
      </w:r>
      <w:r>
        <w:t xml:space="preserve">is not peripheral but foundational. This position will:</w:t>
      </w:r>
    </w:p>
    <w:p>
      <w:pPr>
        <w:numPr>
          <w:ilvl w:val="0"/>
          <w:numId w:val="1002"/>
        </w:numPr>
        <w:pStyle w:val="Compact"/>
      </w:pPr>
      <w:r>
        <w:rPr>
          <w:iCs/>
          <w:i/>
        </w:rPr>
        <w:t xml:space="preserve">Culturally Navigate Stakeholders</w:t>
      </w:r>
      <w:r>
        <w:t xml:space="preserve">: Lead community engagement sessions in Spanish, Haitian Creole, and English across Miami-Dade’s diverse neighborhoods (e.g., Coral Gables, Hialeah), ensuring research protocols respect cultural norms around family decision-making and food practices.</w:t>
      </w:r>
    </w:p>
    <w:p>
      <w:pPr>
        <w:numPr>
          <w:ilvl w:val="0"/>
          <w:numId w:val="1002"/>
        </w:numPr>
        <w:pStyle w:val="Compact"/>
      </w:pPr>
      <w:r>
        <w:rPr>
          <w:iCs/>
          <w:i/>
        </w:rPr>
        <w:t xml:space="preserve">Integrate Local Data Systems</w:t>
      </w:r>
      <w:r>
        <w:t xml:space="preserve">: Partner with the Miami-Dade County Health Department to anonymize and analyze existing electronic health records (EHRs) for real-world effectiveness insights, avoiding redundant data collection.</w:t>
      </w:r>
    </w:p>
    <w:p>
      <w:pPr>
        <w:numPr>
          <w:ilvl w:val="0"/>
          <w:numId w:val="1002"/>
        </w:numPr>
        <w:pStyle w:val="Compact"/>
      </w:pPr>
      <w:r>
        <w:rPr>
          <w:iCs/>
          <w:i/>
        </w:rPr>
        <w:t xml:space="preserve">Deploy Mobile Clinics as Research Hubs</w:t>
      </w:r>
      <w:r>
        <w:t xml:space="preserve">: Utilize Miami’s existing mobile healthcare units (e.g., from the University of Miami Miller School of Medicine) to conduct in-person assessments, addressing transportation barriers while collecting location-specific data on environmental factors (e.g., proximity to grocery stores with healthy options).</w:t>
      </w:r>
    </w:p>
    <w:p>
      <w:pPr>
        <w:pStyle w:val="FirstParagraph"/>
      </w:pPr>
      <w:r>
        <w:rPr>
          <w:bCs/>
          <w:b/>
        </w:rPr>
        <w:t xml:space="preserve">United States Miami: Strategic Advantages for Implementation</w:t>
      </w:r>
    </w:p>
    <w:p>
      <w:pPr>
        <w:pStyle w:val="BodyText"/>
      </w:pPr>
      <w:r>
        <w:t xml:space="preserve">Why Miami? The city’s status as a global hub offers unprecedented advantages:</w:t>
      </w:r>
    </w:p>
    <w:p>
      <w:pPr>
        <w:numPr>
          <w:ilvl w:val="0"/>
          <w:numId w:val="1003"/>
        </w:numPr>
        <w:pStyle w:val="Compact"/>
      </w:pPr>
      <w:r>
        <w:rPr>
          <w:iCs/>
          <w:i/>
        </w:rPr>
        <w:t xml:space="preserve">Diverse Population Density</w:t>
      </w:r>
      <w:r>
        <w:t xml:space="preserve">: Allows for rapid recruitment of a representative sample across racial/ethnic lines, essential for generalizable findings in urban U.S. settings.</w:t>
      </w:r>
    </w:p>
    <w:p>
      <w:pPr>
        <w:numPr>
          <w:ilvl w:val="0"/>
          <w:numId w:val="1003"/>
        </w:numPr>
        <w:pStyle w:val="Compact"/>
      </w:pPr>
      <w:r>
        <w:rPr>
          <w:iCs/>
          <w:i/>
        </w:rPr>
        <w:t xml:space="preserve">Existing Healthcare Infrastructure</w:t>
      </w:r>
      <w:r>
        <w:t xml:space="preserve">: Partnerships with academic centers (University of Miami, Florida International University), safety-net hospitals (Jackson Memorial), and community health centers enable seamless integration of the intervention.</w:t>
      </w:r>
    </w:p>
    <w:p>
      <w:pPr>
        <w:numPr>
          <w:ilvl w:val="0"/>
          <w:numId w:val="1003"/>
        </w:numPr>
        <w:pStyle w:val="Compact"/>
      </w:pPr>
      <w:r>
        <w:rPr>
          <w:iCs/>
          <w:i/>
        </w:rPr>
        <w:t xml:space="preserve">Policy Relevance</w:t>
      </w:r>
      <w:r>
        <w:t xml:space="preserve">: Findings will directly inform Miami-Dade County’s Health Equity Initiative and the Florida Department of Health’s Chronic Disease Prevention Plan, ensuring real-world policy impact within the</w:t>
      </w:r>
      <w:r>
        <w:t xml:space="preserve"> </w:t>
      </w:r>
      <w:r>
        <w:rPr>
          <w:bCs/>
          <w:b/>
        </w:rPr>
        <w:t xml:space="preserve">United States Miami</w:t>
      </w:r>
      <w:r>
        <w:t xml:space="preserve"> </w:t>
      </w:r>
      <w:r>
        <w:t xml:space="preserve">jurisdiction.</w:t>
      </w:r>
    </w:p>
    <w:p>
      <w:pPr>
        <w:pStyle w:val="FirstParagraph"/>
      </w:pPr>
      <w:r>
        <w:rPr>
          <w:bCs/>
          <w:b/>
        </w:rPr>
        <w:t xml:space="preserve">Expected Outcomes and Long-Term Impact</w:t>
      </w:r>
    </w:p>
    <w:p>
      <w:pPr>
        <w:pStyle w:val="BodyText"/>
      </w:pPr>
      <w:r>
        <w:t xml:space="preserve">This</w:t>
      </w:r>
      <w:r>
        <w:t xml:space="preserve"> </w:t>
      </w:r>
      <w:r>
        <w:rPr>
          <w:bCs/>
          <w:b/>
        </w:rPr>
        <w:t xml:space="preserve">Research Proposal</w:t>
      </w:r>
      <w:r>
        <w:t xml:space="preserve">, executed by a dedicated</w:t>
      </w:r>
      <w:r>
        <w:t xml:space="preserve"> </w:t>
      </w:r>
      <w:r>
        <w:rPr>
          <w:bCs/>
          <w:b/>
        </w:rPr>
        <w:t xml:space="preserve">Medical Researcher</w:t>
      </w:r>
      <w:r>
        <w:t xml:space="preserve">, will yield:</w:t>
      </w:r>
    </w:p>
    <w:p>
      <w:pPr>
        <w:numPr>
          <w:ilvl w:val="0"/>
          <w:numId w:val="1004"/>
        </w:numPr>
        <w:pStyle w:val="Compact"/>
      </w:pPr>
      <w:r>
        <w:t xml:space="preserve">A validated, scalable mHealth tool specifically designed for Miami’s cultural context—potentially reducing HbA1c by 1.0% (exceeding the 0.5% target in clinical guidelines).</w:t>
      </w:r>
    </w:p>
    <w:p>
      <w:pPr>
        <w:numPr>
          <w:ilvl w:val="0"/>
          <w:numId w:val="1004"/>
        </w:numPr>
        <w:pStyle w:val="Compact"/>
      </w:pPr>
      <w:r>
        <w:t xml:space="preserve">Evidence to advocate for Medicaid reimbursement of culturally tailored digital health services in Florida, setting a national precedent.</w:t>
      </w:r>
    </w:p>
    <w:p>
      <w:pPr>
        <w:numPr>
          <w:ilvl w:val="0"/>
          <w:numId w:val="1004"/>
        </w:numPr>
        <w:pStyle w:val="Compact"/>
      </w:pPr>
      <w:r>
        <w:t xml:space="preserve">A replicable model for community-centered research that increases minority participation in clinical trials—addressing a critical gap identified by NIH’s All of Us program within the</w:t>
      </w:r>
      <w:r>
        <w:t xml:space="preserve"> </w:t>
      </w:r>
      <w:r>
        <w:rPr>
          <w:bCs/>
          <w:b/>
        </w:rPr>
        <w:t xml:space="preserve">United States Miami</w:t>
      </w:r>
      <w:r>
        <w:t xml:space="preserve"> </w:t>
      </w:r>
      <w:r>
        <w:t xml:space="preserve">region.</w:t>
      </w:r>
    </w:p>
    <w:p>
      <w:pPr>
        <w:pStyle w:val="FirstParagraph"/>
      </w:pPr>
      <w:r>
        <w:rPr>
          <w:bCs/>
          <w:b/>
        </w:rPr>
        <w:t xml:space="preserve">Budget and Resource Alignment</w:t>
      </w:r>
    </w:p>
    <w:p>
      <w:pPr>
        <w:pStyle w:val="BodyText"/>
      </w:pPr>
      <w:r>
        <w:t xml:space="preserve">Funding will prioritize local resource utilization: 70% of the budget will support Miami-based CHW stipends, app development with local tech firms (e.g., Code for Miami), and partnership coordination with community organizations. This ensures economic impact stays within Miami’s economy while maximizing cultural authenticity.</w:t>
      </w:r>
    </w:p>
    <w:p>
      <w:pPr>
        <w:pStyle w:val="BodyText"/>
      </w:pPr>
      <w:r>
        <w:rPr>
          <w:bCs/>
          <w:b/>
        </w:rPr>
        <w:t xml:space="preserve">Conclusion: A Call to Action in United States Miami</w:t>
      </w:r>
    </w:p>
    <w:p>
      <w:pPr>
        <w:pStyle w:val="BodyText"/>
      </w:pPr>
      <w:r>
        <w:t xml:space="preserve">The health disparities affecting</w:t>
      </w:r>
      <w:r>
        <w:t xml:space="preserve"> </w:t>
      </w:r>
      <w:r>
        <w:rPr>
          <w:bCs/>
          <w:b/>
        </w:rPr>
        <w:t xml:space="preserve">United States Miami</w:t>
      </w:r>
      <w:r>
        <w:t xml:space="preserve"> </w:t>
      </w:r>
      <w:r>
        <w:t xml:space="preserve">demand solutions co-created by and for its people. This proposal positions the</w:t>
      </w:r>
      <w:r>
        <w:t xml:space="preserve"> </w:t>
      </w:r>
      <w:r>
        <w:rPr>
          <w:bCs/>
          <w:b/>
        </w:rPr>
        <w:t xml:space="preserve">Medical Researcher</w:t>
      </w:r>
      <w:r>
        <w:t xml:space="preserve"> </w:t>
      </w:r>
      <w:r>
        <w:t xml:space="preserve">as the catalyst for change—not as an external investigator, but as an embedded community partner driving precision public health. By centering Miami’s unique cultural, socioeconomic, and geographic realities in every phase of research design and implementation, this initiative promises not only improved diabetes outcomes but also a blueprint for equitable medical research nationwide. We seek funding to launch this vital work within the next 90 days, ensuring Miami leads in transforming how chronic disease is managed in America’s most diverse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Health Disparities Through Community-Centered Diabetes Management in United States Miami</dc:title>
  <dc:creator/>
  <dc:language>en</dc:language>
  <cp:keywords/>
  <dcterms:created xsi:type="dcterms:W3CDTF">2025-12-12T03:41:43Z</dcterms:created>
  <dcterms:modified xsi:type="dcterms:W3CDTF">2025-12-12T03:41:43Z</dcterms:modified>
</cp:coreProperties>
</file>

<file path=docProps/custom.xml><?xml version="1.0" encoding="utf-8"?>
<Properties xmlns="http://schemas.openxmlformats.org/officeDocument/2006/custom-properties" xmlns:vt="http://schemas.openxmlformats.org/officeDocument/2006/docPropsVTypes"/>
</file>