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Maternal</w:t>
      </w:r>
      <w:r>
        <w:t xml:space="preserve"> </w:t>
      </w:r>
      <w:r>
        <w:t xml:space="preserve">Healthcare</w:t>
      </w:r>
      <w:r>
        <w:t xml:space="preserve"> </w:t>
      </w:r>
      <w:r>
        <w:t xml:space="preserve">through</w:t>
      </w:r>
      <w:r>
        <w:t xml:space="preserve"> </w:t>
      </w:r>
      <w:r>
        <w:t xml:space="preserve">Midwife</w:t>
      </w:r>
      <w:r>
        <w:t xml:space="preserve"> </w:t>
      </w:r>
      <w:r>
        <w:t xml:space="preserve">Integration</w:t>
      </w:r>
      <w:r>
        <w:t xml:space="preserve"> </w:t>
      </w:r>
      <w:r>
        <w:t xml:space="preserve">in</w:t>
      </w:r>
      <w:r>
        <w:t xml:space="preserve"> </w:t>
      </w:r>
      <w:r>
        <w:t xml:space="preserve">Dhaka,</w:t>
      </w:r>
      <w:r>
        <w:t xml:space="preserve"> </w:t>
      </w:r>
      <w:r>
        <w:t xml:space="preserve">Bangladesh</w:t>
      </w:r>
    </w:p>
    <w:bookmarkStart w:id="28" w:name="Xe05228f106de09a07377c552f69f40558ca5e3b"/>
    <w:p>
      <w:pPr>
        <w:pStyle w:val="Heading1"/>
      </w:pPr>
      <w:r>
        <w:t xml:space="preserve">Research Proposal: Strengthening Maternal Health Outcomes through Midwife-Centered Care Systems in Dhaka, Bangladesh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Bangladesh, maternal mortality remains a critical public health challenge despite significant progress in recent decades. Dhaka, the capital city with over 21 million residents, presents unique urban-rural transition dynamics where inadequate healthcare infrastructure disproportionately affects low-income communities. The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– a skilled birth attendant trained in comprehensive reproductive care – represents a cost-effective solution to bridge gaps in maternal health services. Currently, Bangladesh's midwifery workforce is critically understaffed (1:10,000 population versus WHO's recommended 1:4,732), particularly in Dhaka's densely populated slums and peri-urban areas where 65% of the population lacks access to skilled birth attendants. This research proposes an evidence-based framework to integrate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services into Dhaka's urban healthcare ecosystem, addressing systemic barriers including cultural norms, resource constraints, and fragmented service delivery.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Dhaka's rapid urbanization has created complex maternal health challenges: 45% of births occur without skilled attendance (Bangladesh Demographic Health Survey, 2019), with preventable causes like postpartum hemorrhage and eclampsia accounting for 73% of maternal deaths. Existing initiatives often fail to address Dhaka's unique context – high population density, traffic congestion limiting emergency transport, and deep-seated gender barriers. Crucially,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programs are underutilized despite evidence showing they reduce neonatal mortality by 47% (WHO, 2021). The absence of a standardized midwifery service model in Dhaka's public health system perpetuates inequities, with marginalized women bearing the highest risks. This study directly confronts this gap through a context-specific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integration framework.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 map existing midwifery service gaps</w:t>
      </w:r>
      <w:r>
        <w:t xml:space="preserve">: Conduct spatial analysis of maternal healthcare access points across Dhaka's 10 administrative wards, identifying underserved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 evaluate community perceptions of midwives</w:t>
      </w:r>
      <w:r>
        <w:t xml:space="preserve">: Assess cultural acceptance, trust levels, and barriers (e.g., gender norms, cost) through focus group discussions with 200 women in Dhaka slums.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 develop a scalable midwife service model</w:t>
      </w:r>
      <w:r>
        <w:t xml:space="preserve">: Co-design an integrated care pathway with health workers at 3 public clinics in Dhaka North and South, incorporating mobile health technology for patient tracking.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 quantify impact on maternal outcomes</w:t>
      </w:r>
      <w:r>
        <w:t xml:space="preserve">: Measure changes in skilled birth attendance, emergency referrals, and postpartum complications after 12 months of model implementation.</w:t>
      </w:r>
    </w:p>
    <w:bookmarkEnd w:id="22"/>
    <w:bookmarkStart w:id="23" w:name="Xe17fc7507def391ce88446065a7556b0c4034e0"/>
    <w:p>
      <w:pPr>
        <w:pStyle w:val="Heading2"/>
      </w:pPr>
      <w:r>
        <w:t xml:space="preserve">4. Literature Review: Contextualizing Midwifery in Bangladesh Dhaka</w:t>
      </w:r>
    </w:p>
    <w:p>
      <w:pPr>
        <w:pStyle w:val="FirstParagraph"/>
      </w:pPr>
      <w:r>
        <w:t xml:space="preserve">Global evidence confirms midwives reduce maternal mortality by 40-60% (Lancet, 2018), but Bangladesh's urban context requires adaptation. Previous Dhaka studies (e.g., Khan et al., 2020) noted that while rural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programs succeeded, urban challenges like clinic overcrowding and patient分流 were unaddressed. A landmark study by the Dhaka Community Hospital (2021) demonstrated that midwife-led antenatal clinics in Mohammadpur reduced missed appointments by 35%. However, no research has holistically examined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integration within Dhaka's complex public-private healthcare landscape. This project builds on Bangladesh's National Midwifery Strategy (2019) but addresses its urban implementation void.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action research will operate in three phases across 6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 1-2)</w:t>
      </w:r>
      <w:r>
        <w:t xml:space="preserve">: Quantitative mapping of healthcare facilities using GIS in Dhaka, combined with household surveys (n=500) to identify service deserts.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 3-4)</w:t>
      </w:r>
      <w:r>
        <w:t xml:space="preserve">: Participatory workshops with community leaders, existing</w:t>
      </w:r>
      <w:r>
        <w:t xml:space="preserve"> </w:t>
      </w:r>
      <w:r>
        <w:rPr>
          <w:iCs/>
          <w:i/>
        </w:rPr>
        <w:t xml:space="preserve">Midwife</w:t>
      </w:r>
      <w:r>
        <w:t xml:space="preserve">s from the Ministry of Health, and local NGOs to co-design service protocols. Key focus: adapting care for Dhaka's traffic patterns (e.g., establishing "midwife hubs" at transit points).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 5-6)</w:t>
      </w:r>
      <w:r>
        <w:t xml:space="preserve">: Implementation pilot at three public health facilities in Mirpur, Khilgaon, and Tongi. Randomized control trial: Intervention group receives midwife-led integrated care; control group uses standard services. Primary outcomes: Skilled birth attendance rate, facility-based delivery rates.</w:t>
      </w:r>
    </w:p>
    <w:p>
      <w:pPr>
        <w:pStyle w:val="FirstParagraph"/>
      </w:pPr>
      <w:r>
        <w:t xml:space="preserve">Qualitative data will include 30 in-depth interviews with mothers who accessed midwife services and 15 health workers. Data analysis will use SPSS for quantitative metrics and NVivo for thematic coding of qualitative responses.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We anticipate the proposed model will increase skilled birth attendance in target areas by 30% within 12 months, directly reducing preventable maternal deaths. Crucially, this research will generate a transferable framework for other South Asian megacities facing similar urban health challenges. The integration of mobile tracking (e.g., SMS reminders for antenatal visits) addresses Dhaka-specific barriers like irregular clinic hours due to traffic. For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professionals in Bangladesh Dhaka, the project offers career advancement pathways through standardized training modules aligned with WHO’s midwifery competencies – a critical step toward professionalizing the workforce.</w:t>
      </w:r>
    </w:p>
    <w:p>
      <w:pPr>
        <w:pStyle w:val="BodyText"/>
      </w:pPr>
      <w:r>
        <w:t xml:space="preserve">The significance extends beyond health metrics: By prioritizing women's voices in service design (especially from Dhaka's 30% urban poor population), this project advances gender equity. Findings will directly inform Bangladesh's Health Ministry and WHO Country Office to revise urban maternal health policies. Furthermore, cost-effectiveness analysis will demonstrate that each midwife deployed in Dhaka generates $120 in societal savings through reduced emergency costs (based on similar models in Pakistan).</w:t>
      </w:r>
    </w:p>
    <w:bookmarkEnd w:id="25"/>
    <w:bookmarkStart w:id="26" w:name="timeline-and-budget-overview"/>
    <w:p>
      <w:pPr>
        <w:pStyle w:val="Heading2"/>
      </w:pPr>
      <w:r>
        <w:t xml:space="preserve">7. Timeline and Budget Overview</w:t>
      </w:r>
    </w:p>
    <w:p>
      <w:pPr>
        <w:pStyle w:val="FirstParagraph"/>
      </w:pPr>
      <w:r>
        <w:rPr>
          <w:bCs/>
          <w:b/>
        </w:rPr>
        <w:t xml:space="preserve">Months 1-3</w:t>
      </w:r>
      <w:r>
        <w:t xml:space="preserve">: Site selection, ethics approval, data collection tools design.</w:t>
      </w:r>
      <w:r>
        <w:br/>
      </w:r>
      <w:r>
        <w:rPr>
          <w:bCs/>
          <w:b/>
        </w:rPr>
        <w:t xml:space="preserve">Months 4-5</w:t>
      </w:r>
      <w:r>
        <w:t xml:space="preserve">: Community engagement workshops, baseline surveys.</w:t>
      </w:r>
      <w:r>
        <w:br/>
      </w:r>
      <w:r>
        <w:rPr>
          <w:bCs/>
          <w:b/>
        </w:rPr>
        <w:t xml:space="preserve">Month 6</w:t>
      </w:r>
      <w:r>
        <w:t xml:space="preserve">: Pilot implementation launch at three clinics.</w:t>
      </w:r>
      <w:r>
        <w:br/>
      </w:r>
      <w:r>
        <w:rPr>
          <w:bCs/>
          <w:b/>
        </w:rPr>
        <w:t xml:space="preserve">Months 7-12</w:t>
      </w:r>
      <w:r>
        <w:t xml:space="preserve">: Data collection during intervention, impact assessment.</w:t>
      </w:r>
    </w:p>
    <w:p>
      <w:pPr>
        <w:pStyle w:val="BodyText"/>
      </w:pPr>
      <w:r>
        <w:t xml:space="preserve">Budget of $85,000 (USD) will cover field staff salaries (45%), equipment/mobile platforms (30%), community engagement events (15%), and analysis costs. All funds will be channeled through the Bangladesh Medical Research Council to ensure local compliance.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research proposal responds urgently to Dhaka's maternal health crisis by centering the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as a catalyst for transformative change. Unlike previous initiatives, it uniquely addresses urban-specific challenges while respecting Bangladesh's cultural context and leveraging existing healthcare structures. By placing community voices at the core of service design – particularly those from Dhaka's most vulnerable neighborhoods – this project promises not only measurable health improvements but also a replicable blueprint for midwifery integration in South Asian cities. The success of this initiative could position Dhaka as a global leader in urban maternal healthcare, proving that investing in</w:t>
      </w:r>
      <w:r>
        <w:t xml:space="preserve"> </w:t>
      </w:r>
      <w:r>
        <w:rPr>
          <w:iCs/>
          <w:i/>
        </w:rPr>
        <w:t xml:space="preserve">Midwife</w:t>
      </w:r>
      <w:r>
        <w:t xml:space="preserve"> </w:t>
      </w:r>
      <w:r>
        <w:t xml:space="preserve">networks is both a moral imperative and an economically sound strategy to achieve Bangladesh's Sustainable Development Goal 3 (Good Health and Well-being). We request partnership with the Ministry of Health and Family Welfare of Bangladesh to co-implement this vital research.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Maternal Healthcare through Midwife Integration in Dhaka, Bangladesh</dc:title>
  <dc:creator/>
  <dc:language>en</dc:language>
  <cp:keywords/>
  <dcterms:created xsi:type="dcterms:W3CDTF">2025-12-10T09:17:14Z</dcterms:created>
  <dcterms:modified xsi:type="dcterms:W3CDTF">2025-12-10T09:17:14Z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