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Competencies</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f7a264bf699a053da5607e571fefb04bedcdc12"/>
    <w:p>
      <w:pPr>
        <w:pStyle w:val="Heading1"/>
      </w:pPr>
      <w:r>
        <w:t xml:space="preserve">Research Proposal: Advancing Strategic Leadership for Military Officers in the United Arab Emirates Dubai Environment</w:t>
      </w:r>
    </w:p>
    <w:bookmarkStart w:id="20" w:name="introduction"/>
    <w:p>
      <w:pPr>
        <w:pStyle w:val="Heading2"/>
      </w:pPr>
      <w:r>
        <w:t xml:space="preserve">Introduction</w:t>
      </w:r>
    </w:p>
    <w:p>
      <w:pPr>
        <w:pStyle w:val="FirstParagraph"/>
      </w:pPr>
      <w:r>
        <w:t xml:space="preserve">The strategic significance of the United Arab Emirates (UAE), particularly Dubai as a global economic, diplomatic, and security hub, necessitates a sophisticated military leadership framework. As a Military Officer within the UAE Armed Forces operating in Dubai's unique urban ecosystem—a nexus of international diplomacy, rapid urbanization, and complex security challenges—this research addresses an urgent need to develop adaptive leadership competencies. The UAE's vision for regional stability and its commitment to modernizing defense capabilities demand that Military Officers possess specialized skills tailored to Dubai's dynamic environment. This proposal outlines a comprehensive study designed to strengthen leadership frameworks specifically for UAE Military Officers stationed in Dubai, ensuring alignment with national security objectives and global best practices.</w:t>
      </w:r>
    </w:p>
    <w:bookmarkEnd w:id="20"/>
    <w:bookmarkStart w:id="21" w:name="problem-statement"/>
    <w:p>
      <w:pPr>
        <w:pStyle w:val="Heading2"/>
      </w:pPr>
      <w:r>
        <w:t xml:space="preserve">Problem Statement</w:t>
      </w:r>
    </w:p>
    <w:p>
      <w:pPr>
        <w:pStyle w:val="FirstParagraph"/>
      </w:pPr>
      <w:r>
        <w:t xml:space="preserve">Current leadership development programs within the UAE Armed Forces exhibit gaps when applied to the Dubai context. Traditional military training focuses on conventional warfare scenarios but insufficiently addresses urban security dynamics, cultural negotiation in multinational environments, and rapid crisis response in a city hosting 30% of the UAE's population and over 200 nationalities. Military Officers in Dubai confront unprecedented challenges: integrating cybersecurity protocols with physical security operations at global events (e.g., Expo 2020), managing cross-agency coordination during large-scale evacuations, and navigating diplomatic sensitivities amid international military exercises. Without context-specific leadership training, the UAE risks compromising its security posture and strategic influence in a city where 75% of global Fortune 500 companies maintain regional headquarters.</w:t>
      </w:r>
    </w:p>
    <w:bookmarkEnd w:id="21"/>
    <w:bookmarkStart w:id="22" w:name="research-objectives"/>
    <w:p>
      <w:pPr>
        <w:pStyle w:val="Heading2"/>
      </w:pPr>
      <w:r>
        <w:t xml:space="preserve">Research Objectives</w:t>
      </w:r>
    </w:p>
    <w:p>
      <w:pPr>
        <w:numPr>
          <w:ilvl w:val="0"/>
          <w:numId w:val="1001"/>
        </w:numPr>
        <w:pStyle w:val="Compact"/>
      </w:pPr>
      <w:r>
        <w:t xml:space="preserve">To analyze existing leadership models for Military Officers in urban environments, benchmarking against NATO and Gulf Cooperation Council (GCC) best practices.</w:t>
      </w:r>
    </w:p>
    <w:p>
      <w:pPr>
        <w:numPr>
          <w:ilvl w:val="0"/>
          <w:numId w:val="1001"/>
        </w:numPr>
        <w:pStyle w:val="Compact"/>
      </w:pPr>
      <w:r>
        <w:t xml:space="preserve">To identify critical leadership competencies required for UAE Military Officers operating in Dubai's multifaceted security landscape, including cultural intelligence, crisis decision-making under time pressure, and inter-agency coordination with Dubai Police and Civil Defense.</w:t>
      </w:r>
    </w:p>
    <w:p>
      <w:pPr>
        <w:numPr>
          <w:ilvl w:val="0"/>
          <w:numId w:val="1001"/>
        </w:numPr>
        <w:pStyle w:val="Compact"/>
      </w:pPr>
      <w:r>
        <w:t xml:space="preserve">To develop a customized leadership framework integrating Emirati values (e.g., *Al-Murūbiya* – steadfastness) with modern urban military operations.</w:t>
      </w:r>
    </w:p>
    <w:p>
      <w:pPr>
        <w:numPr>
          <w:ilvl w:val="0"/>
          <w:numId w:val="1001"/>
        </w:numPr>
        <w:pStyle w:val="Compact"/>
      </w:pPr>
      <w:r>
        <w:t xml:space="preserve">To propose an actionable training curriculum for the UAE Military Academy in Dubai, validated through pilot implementation.</w:t>
      </w:r>
    </w:p>
    <w:bookmarkEnd w:id="22"/>
    <w:bookmarkStart w:id="23" w:name="literature-review"/>
    <w:p>
      <w:pPr>
        <w:pStyle w:val="Heading2"/>
      </w:pPr>
      <w:r>
        <w:t xml:space="preserve">Literature Review</w:t>
      </w:r>
    </w:p>
    <w:p>
      <w:pPr>
        <w:pStyle w:val="FirstParagraph"/>
      </w:pPr>
      <w:r>
        <w:t xml:space="preserve">Existing scholarship on military leadership predominantly focuses on battlefield scenarios or small-unit tactics. Studies by Al-Khalifa (2019) highlight gaps in Gulf military education regarding urban counter-terrorism, while NATO's *Urban Operations Handbook* (2021) emphasizes technical solutions over human-centric leadership. Notably, no research has examined UAE-specific leadership demands in Dubai—a city where security threats span from cyberattacks on financial infrastructure to crowd management during international events like the Dubai Shopping Festival (attracting 5 million visitors annually). This void necessitates a localized study grounded in the UAE's National Security Strategy and Vision 2030, which prioritizes "smart security" through technology-enhanced human leadership.</w:t>
      </w:r>
    </w:p>
    <w:bookmarkEnd w:id="23"/>
    <w:bookmarkStart w:id="24" w:name="methodology"/>
    <w:p>
      <w:pPr>
        <w:pStyle w:val="Heading2"/>
      </w:pPr>
      <w:r>
        <w:t xml:space="preserve">Methodology</w:t>
      </w:r>
    </w:p>
    <w:p>
      <w:pPr>
        <w:pStyle w:val="FirstParagraph"/>
      </w:pPr>
      <w:r>
        <w:t xml:space="preserve">This mixed-methods research will employ three integrated phases:</w:t>
      </w:r>
    </w:p>
    <w:p>
      <w:pPr>
        <w:numPr>
          <w:ilvl w:val="0"/>
          <w:numId w:val="1002"/>
        </w:numPr>
        <w:pStyle w:val="Compact"/>
      </w:pPr>
      <w:r>
        <w:rPr>
          <w:bCs/>
          <w:b/>
        </w:rPr>
        <w:t xml:space="preserve">Qualitative Phase (Months 1-4):</w:t>
      </w:r>
      <w:r>
        <w:t xml:space="preserve"> </w:t>
      </w:r>
      <w:r>
        <w:t xml:space="preserve">In-depth interviews with 30+ Military Officers currently stationed in Dubai (including ranks from Captain to Brigadier), supplemented by focus groups with Dubai Civil Defense and UAE Ministry of Interior officials. This will identify situational leadership challenges through the lens of real-world operations.</w:t>
      </w:r>
    </w:p>
    <w:p>
      <w:pPr>
        <w:numPr>
          <w:ilvl w:val="0"/>
          <w:numId w:val="1002"/>
        </w:numPr>
        <w:pStyle w:val="Compact"/>
      </w:pPr>
      <w:r>
        <w:rPr>
          <w:bCs/>
          <w:b/>
        </w:rPr>
        <w:t xml:space="preserve">Comparative Analysis Phase (Months 5-7):</w:t>
      </w:r>
      <w:r>
        <w:t xml:space="preserve"> </w:t>
      </w:r>
      <w:r>
        <w:t xml:space="preserve">Benchmarking against successful models: Singapore's Urban Security Leadership Program (focusing on multicultural crisis response) and Jordan's Amman-based counter-terrorism training. The analysis will isolate transferable frameworks adaptable to Dubai's unique cultural and geographic context.</w:t>
      </w:r>
    </w:p>
    <w:p>
      <w:pPr>
        <w:numPr>
          <w:ilvl w:val="0"/>
          <w:numId w:val="1002"/>
        </w:numPr>
        <w:pStyle w:val="Compact"/>
      </w:pPr>
      <w:r>
        <w:rPr>
          <w:bCs/>
          <w:b/>
        </w:rPr>
        <w:t xml:space="preserve">Framework Development &amp; Validation (Months 8-12):</w:t>
      </w:r>
      <w:r>
        <w:t xml:space="preserve"> </w:t>
      </w:r>
      <w:r>
        <w:t xml:space="preserve">Co-creation workshops with UAE Military leadership, Emirates Academy of Leadership, and Dubai Police Command. A draft curriculum will undergo piloting at the UAE Military Training Center in Al Marmoom Desert (adjacent to Dubai), with pre/post-assessment metrics including decision-making speed in simulated urban scenarios and cross-agency collaboration scores.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w:t>
      </w:r>
    </w:p>
    <w:p>
      <w:pPr>
        <w:numPr>
          <w:ilvl w:val="0"/>
          <w:numId w:val="1003"/>
        </w:numPr>
        <w:pStyle w:val="Compact"/>
      </w:pPr>
      <w:r>
        <w:t xml:space="preserve">A validated Leadership Competency Matrix specific to Dubai operations, featuring 7 core pillars: Urban Situational Awareness, Cultural Diplomacy, Cyber-Physical Security Integration, Crisis Communication (multilingual), Resource Optimization in Dense Environments, Ethical Decision-Making Under Pressure, and Stakeholder Engagement with Emirati Communities.</w:t>
      </w:r>
    </w:p>
    <w:p>
      <w:pPr>
        <w:numPr>
          <w:ilvl w:val="0"/>
          <w:numId w:val="1003"/>
        </w:numPr>
        <w:pStyle w:val="Compact"/>
      </w:pPr>
      <w:r>
        <w:t xml:space="preserve">An executable training module incorporating Dubai-specific case studies (e.g., managing security during the Dubai International Film Festival or the 2023 World Expo evacuation protocols), to be integrated into UAE Military Officer certification pathways.</w:t>
      </w:r>
    </w:p>
    <w:p>
      <w:pPr>
        <w:numPr>
          <w:ilvl w:val="0"/>
          <w:numId w:val="1003"/>
        </w:numPr>
        <w:pStyle w:val="Compact"/>
      </w:pPr>
      <w:r>
        <w:t xml:space="preserve">A research-backed policy brief for the UAE Ministry of Defense, recommending structural changes to leadership development at all command levels within Dubai’s military district.</w:t>
      </w:r>
    </w:p>
    <w:p>
      <w:pPr>
        <w:pStyle w:val="FirstParagraph"/>
      </w:pPr>
      <w:r>
        <w:t xml:space="preserve">The significance extends beyond operational efficiency: By equipping Military Officers with context-aware leadership skills, this initiative directly supports UAE Vision 2030 goals in enhancing national resilience and positioning Dubai as a model for urban security governance. Success will reduce response times during critical incidents (projected 25% improvement) and strengthen the UAE's reputation as a leader in innovative security solutions.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Required Resources</w:t>
            </w:r>
          </w:p>
        </w:tc>
      </w:tr>
      <w:tr>
        <w:tc>
          <w:tcPr/>
          <w:p>
            <w:pPr>
              <w:pStyle w:val="Compact"/>
              <w:jc w:val="left"/>
            </w:pPr>
            <w:r>
              <w:t xml:space="preserve">Situation Analysis &amp; Stakeholder Engagement</w:t>
            </w:r>
          </w:p>
        </w:tc>
        <w:tc>
          <w:tcPr/>
          <w:p>
            <w:pPr>
              <w:pStyle w:val="Compact"/>
              <w:jc w:val="left"/>
            </w:pPr>
            <w:r>
              <w:t xml:space="preserve">Months 1-2</w:t>
            </w:r>
          </w:p>
        </w:tc>
        <w:tc>
          <w:tcPr/>
          <w:p>
            <w:pPr>
              <w:pStyle w:val="Compact"/>
              <w:jc w:val="left"/>
            </w:pPr>
            <w:r>
              <w:t xml:space="preserve">Detailed challenge taxonomy; Partner MOUs with Dubai Police, UAE Ministry of Interior</w:t>
            </w:r>
          </w:p>
        </w:tc>
        <w:tc>
          <w:tcPr/>
          <w:p>
            <w:pPr>
              <w:pStyle w:val="Compact"/>
              <w:jc w:val="left"/>
            </w:pPr>
            <w:r>
              <w:t xml:space="preserve">$15,000 (travel, translation services)</w:t>
            </w:r>
          </w:p>
        </w:tc>
      </w:tr>
      <w:tr>
        <w:tc>
          <w:tcPr/>
          <w:p>
            <w:pPr>
              <w:pStyle w:val="Compact"/>
              <w:jc w:val="left"/>
            </w:pPr>
            <w:r>
              <w:t xml:space="preserve">Comparative Research &amp; Framework Drafting</w:t>
            </w:r>
          </w:p>
        </w:tc>
        <w:tc>
          <w:tcPr/>
          <w:p>
            <w:pPr>
              <w:pStyle w:val="Compact"/>
              <w:jc w:val="left"/>
            </w:pPr>
            <w:r>
              <w:t xml:space="preserve">Months 3-6</w:t>
            </w:r>
          </w:p>
        </w:tc>
        <w:tc>
          <w:tcPr/>
          <w:p>
            <w:pPr>
              <w:pStyle w:val="Compact"/>
              <w:jc w:val="left"/>
            </w:pPr>
            <w:r>
              <w:t xml:space="preserve">Competency Matrix; Draft curriculum prototype</w:t>
            </w:r>
          </w:p>
        </w:tc>
        <w:tc>
          <w:tcPr/>
          <w:p>
            <w:pPr>
              <w:pStyle w:val="Compact"/>
              <w:jc w:val="left"/>
            </w:pPr>
            <w:r>
              <w:t xml:space="preserve">$25,000 (consultant fees, data licenses)</w:t>
            </w:r>
          </w:p>
        </w:tc>
      </w:tr>
      <w:tr>
        <w:tc>
          <w:tcPr/>
          <w:p>
            <w:pPr>
              <w:pStyle w:val="Compact"/>
              <w:jc w:val="left"/>
            </w:pPr>
            <w:r>
              <w:t xml:space="preserve">Pilot Implementation &amp; Validation</w:t>
            </w:r>
          </w:p>
        </w:tc>
        <w:tc>
          <w:tcPr/>
          <w:p>
            <w:pPr>
              <w:pStyle w:val="Compact"/>
              <w:jc w:val="left"/>
            </w:pPr>
            <w:r>
              <w:t xml:space="preserve">Months 7-11</w:t>
            </w:r>
          </w:p>
        </w:tc>
        <w:tc>
          <w:tcPr/>
          <w:p>
            <w:pPr>
              <w:pStyle w:val="Compact"/>
              <w:jc w:val="left"/>
            </w:pPr>
            <w:r>
              <w:t xml:space="preserve">Training module; Pre/post-assessment data; Final framework report</w:t>
            </w:r>
          </w:p>
        </w:tc>
        <w:tc>
          <w:tcPr/>
          <w:p>
            <w:pPr>
              <w:pStyle w:val="Compact"/>
              <w:jc w:val="left"/>
            </w:pPr>
            <w:r>
              <w:t xml:space="preserve">$40,000 (simulation equipment, participant stipends)</w:t>
            </w:r>
          </w:p>
        </w:tc>
      </w:tr>
      <w:tr>
        <w:tc>
          <w:tcPr/>
          <w:p>
            <w:pPr>
              <w:pStyle w:val="Compact"/>
              <w:jc w:val="left"/>
            </w:pPr>
            <w:r>
              <w:t xml:space="preserve">Total</w:t>
            </w:r>
          </w:p>
        </w:tc>
        <w:tc>
          <w:tcPr/>
          <w:p>
            <w:pPr>
              <w:pStyle w:val="Compact"/>
              <w:jc w:val="left"/>
            </w:pPr>
            <w:r>
              <w:t xml:space="preserve">12 Months</w:t>
            </w:r>
          </w:p>
        </w:tc>
        <w:tc>
          <w:tcPr/>
          <w:p>
            <w:pPr>
              <w:pStyle w:val="Compact"/>
            </w:pPr>
          </w:p>
        </w:tc>
        <w:tc>
          <w:tcPr/>
          <w:p>
            <w:pPr>
              <w:pStyle w:val="Compact"/>
              <w:jc w:val="left"/>
            </w:pPr>
            <w:r>
              <w:rPr>
                <w:bCs/>
                <w:b/>
              </w:rPr>
              <w:t xml:space="preserve">$80,000 USD</w:t>
            </w:r>
          </w:p>
        </w:tc>
      </w:tr>
    </w:tbl>
    <w:bookmarkEnd w:id="26"/>
    <w:bookmarkStart w:id="27" w:name="conclusion"/>
    <w:p>
      <w:pPr>
        <w:pStyle w:val="Heading2"/>
      </w:pPr>
      <w:r>
        <w:t xml:space="preserve">Conclusion</w:t>
      </w:r>
    </w:p>
    <w:p>
      <w:pPr>
        <w:pStyle w:val="FirstParagraph"/>
      </w:pPr>
      <w:r>
        <w:t xml:space="preserve">In the United Arab Emirates Dubai—the epicenter of global commerce, diplomacy, and security innovation—Military Officers require leadership capabilities uniquely calibrated to urban complexity. This Research Proposal directly responds to that imperative by creating a scalable, culturally grounded leadership framework. The outcomes will empower UAE Military Officers not merely as defenders of territory but as strategic partners in Dubai’s sustainable security ecosystem. By investing in this research, the UAE Armed Forces advance their commitment to "Excellence through Innovation" (as articulated in the 2023 National Defense Strategy), securing both immediate operational effectiveness and long-term regional leadership. This project is not merely about improving military training; it is about ensuring that every Military Officer operating from Dubai’s skyline contributes meaningfully to the nation’s vision of a safe, prosperous, and globally respected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Competencies of Military Officers in the United Arab Emirates Dubai Context</dc:title>
  <dc:creator/>
  <dc:language>en</dc:language>
  <cp:keywords/>
  <dcterms:created xsi:type="dcterms:W3CDTF">2026-07-24T05:18:59Z</dcterms:created>
  <dcterms:modified xsi:type="dcterms:W3CDTF">2026-07-24T05:18:59Z</dcterms:modified>
</cp:coreProperties>
</file>

<file path=docProps/custom.xml><?xml version="1.0" encoding="utf-8"?>
<Properties xmlns="http://schemas.openxmlformats.org/officeDocument/2006/custom-properties" xmlns:vt="http://schemas.openxmlformats.org/officeDocument/2006/docPropsVTypes"/>
</file>