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Uzbekistan</w:t>
      </w:r>
      <w:r>
        <w:t xml:space="preserve"> </w:t>
      </w:r>
      <w:r>
        <w:t xml:space="preserve">Tashkent</w:t>
      </w:r>
    </w:p>
    <w:bookmarkStart w:id="29" w:name="Xea897d8d353fe02bd5a8df7a2c0046f38611122"/>
    <w:p>
      <w:pPr>
        <w:pStyle w:val="Heading1"/>
      </w:pPr>
      <w:r>
        <w:t xml:space="preserve">Research Proposal: Advancing Professional Competence of Military Officers in Uzbekistan Tashkent Through Modernized Training Frameworks</w:t>
      </w:r>
    </w:p>
    <w:bookmarkStart w:id="20" w:name="introduction"/>
    <w:p>
      <w:pPr>
        <w:pStyle w:val="Heading2"/>
      </w:pPr>
      <w:r>
        <w:t xml:space="preserve">1. Introduction</w:t>
      </w:r>
    </w:p>
    <w:p>
      <w:pPr>
        <w:pStyle w:val="FirstParagraph"/>
      </w:pPr>
      <w:r>
        <w:t xml:space="preserve">The security landscape of Central Asia demands continuous evolution in military capabilities, making the professional development of</w:t>
      </w:r>
      <w:r>
        <w:t xml:space="preserve"> </w:t>
      </w:r>
      <w:r>
        <w:rPr>
          <w:bCs/>
          <w:b/>
        </w:rPr>
        <w:t xml:space="preserve">Military Officer</w:t>
      </w:r>
      <w:r>
        <w:t xml:space="preserve">s a strategic priority for Uzbekistan. As the capital and political-military hub of Uzbekistan Tashkent, this city serves as the epicenter for defense policy formulation, training institutions, and operational command structures. This</w:t>
      </w:r>
      <w:r>
        <w:t xml:space="preserve"> </w:t>
      </w:r>
      <w:r>
        <w:rPr>
          <w:bCs/>
          <w:b/>
        </w:rPr>
        <w:t xml:space="preserve">Research Proposal</w:t>
      </w:r>
      <w:r>
        <w:t xml:space="preserve"> </w:t>
      </w:r>
      <w:r>
        <w:t xml:space="preserve">addresses critical gaps in the systematic development of</w:t>
      </w:r>
      <w:r>
        <w:t xml:space="preserve"> </w:t>
      </w:r>
      <w:r>
        <w:rPr>
          <w:bCs/>
          <w:b/>
        </w:rPr>
        <w:t xml:space="preserve">Military Officer</w:t>
      </w:r>
      <w:r>
        <w:t xml:space="preserve"> </w:t>
      </w:r>
      <w:r>
        <w:t xml:space="preserve">competence within Uzbekistan's armed forces. With national commitments to modernization under the "Uzbekistan 2030" strategy and active participation in international peacekeeping missions, enhancing officer readiness is not merely operational but a matter of national security. The research will be conducted exclusively in</w:t>
      </w:r>
      <w:r>
        <w:t xml:space="preserve"> </w:t>
      </w:r>
      <w:r>
        <w:rPr>
          <w:bCs/>
          <w:b/>
        </w:rPr>
        <w:t xml:space="preserve">Uzbekistan Tashkent</w:t>
      </w:r>
      <w:r>
        <w:t xml:space="preserve">, leveraging its unique position as the nerve center of military education and strategic planning.</w:t>
      </w:r>
    </w:p>
    <w:bookmarkEnd w:id="20"/>
    <w:bookmarkStart w:id="21" w:name="background-and-significance"/>
    <w:p>
      <w:pPr>
        <w:pStyle w:val="Heading2"/>
      </w:pPr>
      <w:r>
        <w:t xml:space="preserve">2. Background and Significance</w:t>
      </w:r>
    </w:p>
    <w:p>
      <w:pPr>
        <w:pStyle w:val="FirstParagraph"/>
      </w:pPr>
      <w:r>
        <w:t xml:space="preserve">Uzbekistan's defense sector has undergone substantial transformation since independence, with Tashkent housing key institutions like the National Defense University, Military Academy of Uzbekistan, and the General Staff Command. Despite progress, emerging challenges—including asymmetric threats, cyber warfare requirements, and interoperability with NATO-aligned forces—demand updated training paradigms. Current</w:t>
      </w:r>
      <w:r>
        <w:t xml:space="preserve"> </w:t>
      </w:r>
      <w:r>
        <w:rPr>
          <w:bCs/>
          <w:b/>
        </w:rPr>
        <w:t xml:space="preserve">Military Officer</w:t>
      </w:r>
      <w:r>
        <w:t xml:space="preserve"> </w:t>
      </w:r>
      <w:r>
        <w:t xml:space="preserve">development programs often lack integration of contemporary strategic frameworks and practical field application. This gap compromises operational effectiveness during multinational exercises like "Ozgur-2025" (Uzbekistan-Turkey) and regional security initiatives under the CSTO. A comprehensive study in</w:t>
      </w:r>
      <w:r>
        <w:t xml:space="preserve"> </w:t>
      </w:r>
      <w:r>
        <w:rPr>
          <w:bCs/>
          <w:b/>
        </w:rPr>
        <w:t xml:space="preserve">Uzbekistan Tashkent</w:t>
      </w:r>
      <w:r>
        <w:t xml:space="preserve"> </w:t>
      </w:r>
      <w:r>
        <w:t xml:space="preserve">is imperative to align officer training with 21st-century security demands, directly supporting Uzbekistan's foreign policy of "active neutrality."</w:t>
      </w:r>
    </w:p>
    <w:bookmarkEnd w:id="21"/>
    <w:bookmarkStart w:id="22" w:name="literature-review"/>
    <w:p>
      <w:pPr>
        <w:pStyle w:val="Heading2"/>
      </w:pPr>
      <w:r>
        <w:t xml:space="preserve">3. Literature Review</w:t>
      </w:r>
    </w:p>
    <w:p>
      <w:pPr>
        <w:pStyle w:val="FirstParagraph"/>
      </w:pPr>
      <w:r>
        <w:t xml:space="preserve">Limited scholarly work addresses Central Asian military officer development. International studies (e.g., RAND Corporation, 2021) highlight the efficacy of blended learning models for officers but overlook post-Soviet contexts. Uzbekistan’s domestic research focuses on historical military structures rather than modern competency frameworks (Khamidov, 2023). Crucially, no study examines how Tashkent-based institutions adapt to dynamic security environments. This</w:t>
      </w:r>
      <w:r>
        <w:t xml:space="preserve"> </w:t>
      </w:r>
      <w:r>
        <w:rPr>
          <w:bCs/>
          <w:b/>
        </w:rPr>
        <w:t xml:space="preserve">Research Proposal</w:t>
      </w:r>
      <w:r>
        <w:t xml:space="preserve"> </w:t>
      </w:r>
      <w:r>
        <w:t xml:space="preserve">bridges this void by centering on</w:t>
      </w:r>
      <w:r>
        <w:t xml:space="preserve"> </w:t>
      </w:r>
      <w:r>
        <w:rPr>
          <w:bCs/>
          <w:b/>
        </w:rPr>
        <w:t xml:space="preserve">Military Officer</w:t>
      </w:r>
      <w:r>
        <w:t xml:space="preserve"> </w:t>
      </w:r>
      <w:r>
        <w:t xml:space="preserve">professionalization within Uzbekistan Tashkent’s unique socio-political ecosystem, where cultural nuances and geopolitical positioning shape training outcomes.</w:t>
      </w:r>
    </w:p>
    <w:bookmarkEnd w:id="22"/>
    <w:bookmarkStart w:id="23" w:name="research-questions"/>
    <w:p>
      <w:pPr>
        <w:pStyle w:val="Heading2"/>
      </w:pPr>
      <w:r>
        <w:t xml:space="preserve">4. Research Questions</w:t>
      </w:r>
    </w:p>
    <w:p>
      <w:pPr>
        <w:numPr>
          <w:ilvl w:val="0"/>
          <w:numId w:val="1001"/>
        </w:numPr>
        <w:pStyle w:val="Compact"/>
      </w:pPr>
      <w:r>
        <w:t xml:space="preserve">How do current training curricula for</w:t>
      </w:r>
      <w:r>
        <w:t xml:space="preserve"> </w:t>
      </w:r>
      <w:r>
        <w:rPr>
          <w:bCs/>
          <w:b/>
        </w:rPr>
        <w:t xml:space="preserve">Military Officer</w:t>
      </w:r>
      <w:r>
        <w:t xml:space="preserve">s in Uzbekistan Tashkent align with evolving security threats (cyber, hybrid warfare, regional instability)?</w:t>
      </w:r>
    </w:p>
    <w:p>
      <w:pPr>
        <w:numPr>
          <w:ilvl w:val="0"/>
          <w:numId w:val="1001"/>
        </w:numPr>
        <w:pStyle w:val="Compact"/>
      </w:pPr>
      <w:r>
        <w:t xml:space="preserve">What institutional barriers hinder the practical application of theoretical knowledge by officers during deployments?</w:t>
      </w:r>
    </w:p>
    <w:p>
      <w:pPr>
        <w:numPr>
          <w:ilvl w:val="0"/>
          <w:numId w:val="1001"/>
        </w:numPr>
        <w:pStyle w:val="Compact"/>
      </w:pPr>
      <w:r>
        <w:t xml:space="preserve">How can digital transformation initiatives be integrated into officer development without compromising cultural relevance in Uzbekistan Tashkent?</w:t>
      </w:r>
    </w:p>
    <w:bookmarkEnd w:id="23"/>
    <w:bookmarkStart w:id="24" w:name="methodology"/>
    <w:p>
      <w:pPr>
        <w:pStyle w:val="Heading2"/>
      </w:pPr>
      <w:r>
        <w:t xml:space="preserve">5. Methodology</w:t>
      </w:r>
    </w:p>
    <w:p>
      <w:pPr>
        <w:pStyle w:val="FirstParagraph"/>
      </w:pPr>
      <w:r>
        <w:t xml:space="preserve">This mixed-methods study will be conducted exclusively in Uzbekistan Tashkent, utilizing triangulated data collection:</w:t>
      </w:r>
    </w:p>
    <w:p>
      <w:pPr>
        <w:numPr>
          <w:ilvl w:val="0"/>
          <w:numId w:val="1002"/>
        </w:numPr>
        <w:pStyle w:val="Compact"/>
      </w:pPr>
      <w:r>
        <w:rPr>
          <w:bCs/>
          <w:b/>
        </w:rPr>
        <w:t xml:space="preserve">Phase 1 (Qualitative):</w:t>
      </w:r>
      <w:r>
        <w:t xml:space="preserve"> </w:t>
      </w:r>
      <w:r>
        <w:t xml:space="preserve">In-depth interviews with 30+ senior</w:t>
      </w:r>
      <w:r>
        <w:t xml:space="preserve"> </w:t>
      </w:r>
      <w:r>
        <w:rPr>
          <w:bCs/>
          <w:b/>
        </w:rPr>
        <w:t xml:space="preserve">Military Officer</w:t>
      </w:r>
      <w:r>
        <w:t xml:space="preserve">s from the Tashkent-based General Staff, National Defense University, and peacekeeping units. Focus: Curriculum gaps and field challenges.</w:t>
      </w:r>
    </w:p>
    <w:p>
      <w:pPr>
        <w:numPr>
          <w:ilvl w:val="0"/>
          <w:numId w:val="1002"/>
        </w:numPr>
        <w:pStyle w:val="Compact"/>
      </w:pPr>
      <w:r>
        <w:rPr>
          <w:bCs/>
          <w:b/>
        </w:rPr>
        <w:t xml:space="preserve">Phase 2 (Quantitative):</w:t>
      </w:r>
      <w:r>
        <w:t xml:space="preserve"> </w:t>
      </w:r>
      <w:r>
        <w:t xml:space="preserve">Survey of 150 mid-career officers across Tashkent military installations measuring competency levels (e.g., decision-making under pressure, tech adoption). Instruments adapted from NATO’s "Military Education Standards."</w:t>
      </w:r>
    </w:p>
    <w:p>
      <w:pPr>
        <w:numPr>
          <w:ilvl w:val="0"/>
          <w:numId w:val="1002"/>
        </w:numPr>
        <w:pStyle w:val="Compact"/>
      </w:pPr>
      <w:r>
        <w:rPr>
          <w:bCs/>
          <w:b/>
        </w:rPr>
        <w:t xml:space="preserve">Phase 3 (Document Analysis):</w:t>
      </w:r>
      <w:r>
        <w:t xml:space="preserve"> </w:t>
      </w:r>
      <w:r>
        <w:t xml:space="preserve">Review of Uzbekistan's Military Doctrine 2025, training manuals from Tashkent institutions, and post-deployment mission reports.</w:t>
      </w:r>
    </w:p>
    <w:p>
      <w:pPr>
        <w:pStyle w:val="FirstParagraph"/>
      </w:pPr>
      <w:r>
        <w:t xml:space="preserve">Data will be analyzed via thematic coding (qualitative) and SPSS statistical modeling (quantitative). Ethical clearance will be secured through the Uzbekistan Ministry of Defense Research Ethics Board. All research activities will strictly comply with Uzbekistan Tashkent's legal frameworks for academic studies.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t xml:space="preserve">A validated competency matrix mapping officer skills to Uzbekistan Tashkent's security priorities, directly informing the National Defense University’s curriculum overhaul.</w:t>
      </w:r>
    </w:p>
    <w:p>
      <w:pPr>
        <w:numPr>
          <w:ilvl w:val="0"/>
          <w:numId w:val="1003"/>
        </w:numPr>
        <w:pStyle w:val="Compact"/>
      </w:pPr>
      <w:r>
        <w:t xml:space="preserve">A digital training module prototype for cyber warfare scenarios, co-developed with Tashkent-based IT specialists and officers, enhancing practical readiness.</w:t>
      </w:r>
    </w:p>
    <w:p>
      <w:pPr>
        <w:numPr>
          <w:ilvl w:val="0"/>
          <w:numId w:val="1003"/>
        </w:numPr>
        <w:pStyle w:val="Compact"/>
      </w:pPr>
      <w:r>
        <w:t xml:space="preserve">Policy briefs for the Ministry of Defense outlining phased integration of soft skills (negotiation, crisis communication) into officer promotion pathways—addressing a documented gap in current Uzbekistan Tashkent training.</w:t>
      </w:r>
    </w:p>
    <w:p>
      <w:pPr>
        <w:pStyle w:val="FirstParagraph"/>
      </w:pPr>
      <w:r>
        <w:t xml:space="preserve">The significance extends beyond operational efficiency: By elevating</w:t>
      </w:r>
      <w:r>
        <w:t xml:space="preserve"> </w:t>
      </w:r>
      <w:r>
        <w:rPr>
          <w:bCs/>
          <w:b/>
        </w:rPr>
        <w:t xml:space="preserve">Military Officer</w:t>
      </w:r>
      <w:r>
        <w:t xml:space="preserve"> </w:t>
      </w:r>
      <w:r>
        <w:t xml:space="preserve">capabilities, this research strengthens Uzbekistan’s diplomatic standing. Well-trained officers enable seamless participation in UN peacekeeping (Uzbekistan has deployed 1,200 personnel globally) and CSTO exercises. Critically, it supports Uzbekistan Tashkent's vision of "strategic autonomy" through self-sustaining defense capacity—reducing reliance on external advisors and fostering indigenous expertise.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Partner coordination with Tashkent Defense Ministry</w:t>
            </w:r>
          </w:p>
        </w:tc>
      </w:tr>
      <w:tr>
        <w:tc>
          <w:tcPr/>
          <w:p>
            <w:pPr>
              <w:pStyle w:val="Compact"/>
              <w:jc w:val="left"/>
            </w:pPr>
            <w:r>
              <w:t xml:space="preserve">4-6</w:t>
            </w:r>
          </w:p>
        </w:tc>
        <w:tc>
          <w:tcPr/>
          <w:p>
            <w:pPr>
              <w:pStyle w:val="Compact"/>
              <w:jc w:val="left"/>
            </w:pPr>
            <w:r>
              <w:t xml:space="preserve">Data collection: Interviews &amp; surveys across Uzbekistan Tashkent military sites</w:t>
            </w:r>
          </w:p>
        </w:tc>
      </w:tr>
      <w:tr>
        <w:tc>
          <w:tcPr/>
          <w:p>
            <w:pPr>
              <w:pStyle w:val="Compact"/>
              <w:jc w:val="left"/>
            </w:pPr>
            <w:r>
              <w:t xml:space="preserve">7-9</w:t>
            </w:r>
          </w:p>
        </w:tc>
        <w:tc>
          <w:tcPr/>
          <w:p>
            <w:pPr>
              <w:pStyle w:val="Compact"/>
              <w:jc w:val="left"/>
            </w:pPr>
            <w:r>
              <w:t xml:space="preserve">Data analysis; Drafting competency framework for Tashkent-based pilot testing</w:t>
            </w:r>
          </w:p>
        </w:tc>
      </w:tr>
      <w:tr>
        <w:tc>
          <w:tcPr/>
          <w:p>
            <w:pPr>
              <w:pStyle w:val="Compact"/>
              <w:jc w:val="left"/>
            </w:pPr>
            <w:r>
              <w:t xml:space="preserve">10-12</w:t>
            </w:r>
          </w:p>
        </w:tc>
        <w:tc>
          <w:tcPr/>
          <w:p>
            <w:pPr>
              <w:pStyle w:val="Compact"/>
              <w:jc w:val="left"/>
            </w:pPr>
            <w:r>
              <w:t xml:space="preserve">Stakeholder workshops in Uzbekistan Tashkent; Final report submission to Ministry of Defense</w:t>
            </w:r>
          </w:p>
        </w:tc>
      </w:tr>
    </w:tbl>
    <w:bookmarkEnd w:id="26"/>
    <w:bookmarkStart w:id="27" w:name="conclusion"/>
    <w:p>
      <w:pPr>
        <w:pStyle w:val="Heading2"/>
      </w:pPr>
      <w:r>
        <w:t xml:space="preserve">8. Conclusion</w:t>
      </w:r>
    </w:p>
    <w:p>
      <w:pPr>
        <w:pStyle w:val="FirstParagraph"/>
      </w:pPr>
      <w:r>
        <w:t xml:space="preserve">This research is not merely academic—it is a strategic investment in Uzbekistan’s security future. By centering the study on Uzbekistan Tashkent as the locus of military innovation, it ensures findings are contextually precise and actionable within the nation's operational reality. The proposed framework for</w:t>
      </w:r>
      <w:r>
        <w:t xml:space="preserve"> </w:t>
      </w:r>
      <w:r>
        <w:rPr>
          <w:bCs/>
          <w:b/>
        </w:rPr>
        <w:t xml:space="preserve">Military Officer</w:t>
      </w:r>
      <w:r>
        <w:t xml:space="preserve"> </w:t>
      </w:r>
      <w:r>
        <w:t xml:space="preserve">development will directly contribute to Uzbekistan’s defense modernization goals while serving as a model for other Central Asian states. As Uzbekistan advances toward becoming a "strategic hub" in the region, its officers must embody excellence—making this</w:t>
      </w:r>
      <w:r>
        <w:t xml:space="preserve"> </w:t>
      </w:r>
      <w:r>
        <w:rPr>
          <w:bCs/>
          <w:b/>
        </w:rPr>
        <w:t xml:space="preserve">Research Proposal</w:t>
      </w:r>
      <w:r>
        <w:t xml:space="preserve"> </w:t>
      </w:r>
      <w:r>
        <w:t xml:space="preserve">both urgent and foundational. We request partnership with the Ministry of Defense of Uzbekistan Tashkent to implement this critical initiative for national security and regional stability.</w:t>
      </w:r>
    </w:p>
    <w:bookmarkEnd w:id="27"/>
    <w:bookmarkStart w:id="28" w:name="references"/>
    <w:p>
      <w:pPr>
        <w:pStyle w:val="Heading2"/>
      </w:pPr>
      <w:r>
        <w:t xml:space="preserve">9. References</w:t>
      </w:r>
    </w:p>
    <w:p>
      <w:pPr>
        <w:numPr>
          <w:ilvl w:val="0"/>
          <w:numId w:val="1004"/>
        </w:numPr>
        <w:pStyle w:val="Compact"/>
      </w:pPr>
      <w:r>
        <w:t xml:space="preserve">Khamidov, A. (2023). *Military Education Reforms in Post-Soviet Central Asia*. Tashkent: Academy Press.</w:t>
      </w:r>
    </w:p>
    <w:p>
      <w:pPr>
        <w:numPr>
          <w:ilvl w:val="0"/>
          <w:numId w:val="1004"/>
        </w:numPr>
        <w:pStyle w:val="Compact"/>
      </w:pPr>
      <w:r>
        <w:t xml:space="preserve">RAND Corporation. (2021). *Modernizing Officer Training for Hybrid Warfare*. Santa Monica: RAND.</w:t>
      </w:r>
    </w:p>
    <w:p>
      <w:pPr>
        <w:numPr>
          <w:ilvl w:val="0"/>
          <w:numId w:val="1004"/>
        </w:numPr>
        <w:pStyle w:val="Compact"/>
      </w:pPr>
      <w:r>
        <w:t xml:space="preserve">Uzbekistan Ministry of Defense. (2023). *National Defense Strategy 2030*. Tashkent: Government Printing House.</w:t>
      </w:r>
    </w:p>
    <w:p>
      <w:pPr>
        <w:numPr>
          <w:ilvl w:val="0"/>
          <w:numId w:val="1004"/>
        </w:numPr>
        <w:pStyle w:val="Compact"/>
      </w:pPr>
      <w:r>
        <w:t xml:space="preserve">NATO Standardization Agreement (STANAG) 2195. (2019). *Military Education and Training Frameworks*.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of Military Officers in Uzbekistan Tashkent</dc:title>
  <dc:creator/>
  <dc:language>en</dc:language>
  <cp:keywords/>
  <dcterms:created xsi:type="dcterms:W3CDTF">2026-07-24T04:57:38Z</dcterms:created>
  <dcterms:modified xsi:type="dcterms:W3CDTF">2026-07-24T04:57:38Z</dcterms:modified>
</cp:coreProperties>
</file>

<file path=docProps/custom.xml><?xml version="1.0" encoding="utf-8"?>
<Properties xmlns="http://schemas.openxmlformats.org/officeDocument/2006/custom-properties" xmlns:vt="http://schemas.openxmlformats.org/officeDocument/2006/docPropsVTypes"/>
</file>