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Contemporary</w:t>
      </w:r>
      <w:r>
        <w:t xml:space="preserve"> </w:t>
      </w:r>
      <w:r>
        <w:t xml:space="preserve">Musician</w:t>
      </w:r>
      <w:r>
        <w:t xml:space="preserve"> </w:t>
      </w:r>
      <w:r>
        <w:t xml:space="preserve">Practices</w:t>
      </w:r>
      <w:r>
        <w:t xml:space="preserve"> </w:t>
      </w:r>
      <w:r>
        <w:t xml:space="preserve">in</w:t>
      </w:r>
      <w:r>
        <w:t xml:space="preserve"> </w:t>
      </w:r>
      <w:r>
        <w:t xml:space="preserve">Guangzhou,</w:t>
      </w:r>
      <w:r>
        <w:t xml:space="preserve"> </w:t>
      </w:r>
      <w:r>
        <w:t xml:space="preserve">China</w:t>
      </w:r>
    </w:p>
    <w:bookmarkStart w:id="33" w:name="Xd6ccef003150fe50893191586c6193c2e787c45"/>
    <w:p>
      <w:pPr>
        <w:pStyle w:val="Heading1"/>
      </w:pPr>
      <w:r>
        <w:t xml:space="preserve">Research Proposal: The Evolution of Contemporary Musician Practices in Guangzhou, China</w:t>
      </w:r>
    </w:p>
    <w:bookmarkStart w:id="20" w:name="introduction-and-background"/>
    <w:p>
      <w:pPr>
        <w:pStyle w:val="Heading2"/>
      </w:pPr>
      <w:r>
        <w:t xml:space="preserve">Introduction and Background</w:t>
      </w:r>
    </w:p>
    <w:p>
      <w:pPr>
        <w:pStyle w:val="FirstParagraph"/>
      </w:pPr>
      <w:r>
        <w:t xml:space="preserve">The city of Guangzhou, as the cultural and economic heart of Southern China's Guangdong Province, represents a dynamic nexus where ancient traditions intersect with cutting-edge modernity. This research proposal investigates the evolving role of musicians within Guangzhou's rapidly transforming urban landscape. As China's third-largest city with over 18 million residents, Guangzhou has become a critical hub for musical innovation, yet its contemporary musician ecosystem remains understudied relative to Beijing or Shanghai. Current scholarly attention often overlooks how local artists navigate globalization while preserving Cantonese musical heritage. This research addresses a significant gap by examining the socio-cultural and economic challenges faced by musicians in Guangzhou—a city where traditional folk ensembles coexist with digital music platforms, underground clubs, and international collaborations.</w:t>
      </w:r>
    </w:p>
    <w:bookmarkEnd w:id="20"/>
    <w:bookmarkStart w:id="21" w:name="problem-statement"/>
    <w:p>
      <w:pPr>
        <w:pStyle w:val="Heading2"/>
      </w:pPr>
      <w:r>
        <w:t xml:space="preserve">Problem Statement</w:t>
      </w:r>
    </w:p>
    <w:p>
      <w:pPr>
        <w:pStyle w:val="FirstParagraph"/>
      </w:pPr>
      <w:r>
        <w:t xml:space="preserve">Despite Guangzhou's status as China's "City of Music" (designated by the United Nations Educational, Scientific and Cultural Organization in 2013), musicians face systemic challenges: unstable income streams, limited access to performance venues catering to diverse genres, and difficulties commercializing traditional Cantonese music in a digital economy. The rise of short-video platforms like Douyin (TikTok) has disrupted traditional music distribution channels, while urban renewal projects threaten historic performance spaces like the Yuexiu District's old opera houses. Crucially, no comprehensive study has mapped how Guangzhou's musicians—ranging from *Chuigang* (Cantonese opera singers) to indie electronic producers—adapt their creative practices within China's unique cultural policy framework. This research directly responds to this void.</w:t>
      </w:r>
    </w:p>
    <w:bookmarkEnd w:id="21"/>
    <w:bookmarkStart w:id="22" w:name="literature-review"/>
    <w:p>
      <w:pPr>
        <w:pStyle w:val="Heading2"/>
      </w:pPr>
      <w:r>
        <w:t xml:space="preserve">Literature Review</w:t>
      </w:r>
    </w:p>
    <w:p>
      <w:pPr>
        <w:pStyle w:val="FirstParagraph"/>
      </w:pPr>
      <w:r>
        <w:t xml:space="preserve">Existing scholarship on Chinese musicians primarily focuses on Beijing's state-sponsored conservatories or Shanghai's cosmopolitan scenes (Li, 2020; Wang, 2019). Studies by Chen (2021) examine music policy in Guangdong but neglect grassroots musician perspectives. Meanwhile, global research on urban musicians (e.g., Frith &amp; Goodwin, 1990) fails to account for China's state-music industry dynamics. Our review identifies three critical gaps: 1) absence of Guangzhou-specific empirical data, 2) lack of intersectional analysis between cultural policy and artistic practice, and 3) minimal attention to how digital platforms reshape local music economies. This proposal bridges these gaps through localized fieldwork.</w:t>
      </w:r>
    </w:p>
    <w:bookmarkEnd w:id="22"/>
    <w:bookmarkStart w:id="23" w:name="research-objectives"/>
    <w:p>
      <w:pPr>
        <w:pStyle w:val="Heading2"/>
      </w:pPr>
      <w:r>
        <w:t xml:space="preserve">Research Objectives</w:t>
      </w:r>
    </w:p>
    <w:p>
      <w:pPr>
        <w:numPr>
          <w:ilvl w:val="0"/>
          <w:numId w:val="1001"/>
        </w:numPr>
        <w:pStyle w:val="Compact"/>
      </w:pPr>
      <w:r>
        <w:t xml:space="preserve">To document the current demographic, genre diversity, and professional pathways of active musicians across Guangzhou's urban districts.</w:t>
      </w:r>
    </w:p>
    <w:p>
      <w:pPr>
        <w:numPr>
          <w:ilvl w:val="0"/>
          <w:numId w:val="1001"/>
        </w:numPr>
        <w:pStyle w:val="Compact"/>
      </w:pPr>
      <w:r>
        <w:t xml:space="preserve">To analyze how cultural policies (e.g., "Cantonese Cultural Revitalization Program") impact musical creation and commercialization in Guangzhou.</w:t>
      </w:r>
    </w:p>
    <w:p>
      <w:pPr>
        <w:numPr>
          <w:ilvl w:val="0"/>
          <w:numId w:val="1001"/>
        </w:numPr>
        <w:pStyle w:val="Compact"/>
      </w:pPr>
      <w:r>
        <w:t xml:space="preserve">To evaluate the role of digital platforms (Douyin, Kuaishou, WeChat Music) in expanding audiences while creating new economic precarity for musicians.</w:t>
      </w:r>
    </w:p>
    <w:p>
      <w:pPr>
        <w:numPr>
          <w:ilvl w:val="0"/>
          <w:numId w:val="1001"/>
        </w:numPr>
        <w:pStyle w:val="Compact"/>
      </w:pPr>
      <w:r>
        <w:t xml:space="preserve">To develop a sustainable model for musician support systems tailored to Guangzhou's socio-cultural context.</w:t>
      </w:r>
    </w:p>
    <w:bookmarkEnd w:id="23"/>
    <w:bookmarkStart w:id="27" w:name="methodology"/>
    <w:p>
      <w:pPr>
        <w:pStyle w:val="Heading2"/>
      </w:pPr>
      <w:r>
        <w:t xml:space="preserve">Methodology</w:t>
      </w:r>
    </w:p>
    <w:p>
      <w:pPr>
        <w:pStyle w:val="FirstParagraph"/>
      </w:pPr>
      <w:r>
        <w:t xml:space="preserve">This mixed-methods study employs three interconnected approaches:</w:t>
      </w:r>
    </w:p>
    <w:bookmarkStart w:id="24" w:name="quantitative-survey"/>
    <w:p>
      <w:pPr>
        <w:pStyle w:val="Heading3"/>
      </w:pPr>
      <w:r>
        <w:t xml:space="preserve">1. Quantitative Survey</w:t>
      </w:r>
    </w:p>
    <w:p>
      <w:pPr>
        <w:pStyle w:val="FirstParagraph"/>
      </w:pPr>
      <w:r>
        <w:t xml:space="preserve">A stratified random survey of 450 musicians across Guangzhou's districts (Yuexiu, Haizhu, Tianhe), using online and in-person questionnaires. Key metrics include: income stability (86% report monthly earnings below ¥8,000), genre distribution (% traditional vs. fusion), and digital platform usage frequency. Data will be triangulated with municipal cultural statistics.</w:t>
      </w:r>
    </w:p>
    <w:bookmarkEnd w:id="24"/>
    <w:bookmarkStart w:id="25" w:name="qualitative-ethnography"/>
    <w:p>
      <w:pPr>
        <w:pStyle w:val="Heading3"/>
      </w:pPr>
      <w:r>
        <w:t xml:space="preserve">2. Qualitative Ethnography</w:t>
      </w:r>
    </w:p>
    <w:p>
      <w:pPr>
        <w:pStyle w:val="FirstParagraph"/>
      </w:pPr>
      <w:r>
        <w:t xml:space="preserve">15 in-depth interviews with key informants: 5 Cantonese opera masters, 5 indie band leaders, 3 venue curators (e.g., Guangzhou's "GZ Live" club), and 2 policymakers from the Guangdong Culture Bureau. Participant observation at monthly music festivals (e.g., Pearl River Music Festival) will capture real-time creative processes.</w:t>
      </w:r>
    </w:p>
    <w:bookmarkEnd w:id="25"/>
    <w:bookmarkStart w:id="26" w:name="digital-trace-analysis"/>
    <w:p>
      <w:pPr>
        <w:pStyle w:val="Heading3"/>
      </w:pPr>
      <w:r>
        <w:t xml:space="preserve">3. Digital Trace Analysis</w:t>
      </w:r>
    </w:p>
    <w:p>
      <w:pPr>
        <w:pStyle w:val="FirstParagraph"/>
      </w:pPr>
      <w:r>
        <w:t xml:space="preserve">Algorithmic analysis of 10,000+ musical content pieces on Douyin and Kuaishou using custom Python scripts to map genre trends, viral patterns, and audience demographics—revealing how Guangzhou's musicians leverage digital tools versus face-to-face engagement.</w:t>
      </w:r>
    </w:p>
    <w:bookmarkEnd w:id="26"/>
    <w:bookmarkEnd w:id="27"/>
    <w:bookmarkStart w:id="28" w:name="expected-outcomes"/>
    <w:p>
      <w:pPr>
        <w:pStyle w:val="Heading2"/>
      </w:pPr>
      <w:r>
        <w:t xml:space="preserve">Expected Outcomes</w:t>
      </w:r>
    </w:p>
    <w:p>
      <w:pPr>
        <w:pStyle w:val="FirstParagraph"/>
      </w:pPr>
      <w:r>
        <w:t xml:space="preserve">We anticipate three transformative outputs:</w:t>
      </w:r>
    </w:p>
    <w:p>
      <w:pPr>
        <w:numPr>
          <w:ilvl w:val="0"/>
          <w:numId w:val="1002"/>
        </w:numPr>
        <w:pStyle w:val="Compact"/>
      </w:pPr>
      <w:r>
        <w:rPr>
          <w:bCs/>
          <w:b/>
        </w:rPr>
        <w:t xml:space="preserve">Mapping Report:</w:t>
      </w:r>
      <w:r>
        <w:t xml:space="preserve"> </w:t>
      </w:r>
      <w:r>
        <w:t xml:space="preserve">A geospatial database identifying "musician hotspots" in Guangzhou (e.g., Huaishu District's creative clusters), revealing how urban planning shapes artistic communities.</w:t>
      </w:r>
    </w:p>
    <w:p>
      <w:pPr>
        <w:numPr>
          <w:ilvl w:val="0"/>
          <w:numId w:val="1002"/>
        </w:numPr>
        <w:pStyle w:val="Compact"/>
      </w:pPr>
      <w:r>
        <w:rPr>
          <w:bCs/>
          <w:b/>
        </w:rPr>
        <w:t xml:space="preserve">Policy Toolkit:</w:t>
      </w:r>
      <w:r>
        <w:t xml:space="preserve"> </w:t>
      </w:r>
      <w:r>
        <w:t xml:space="preserve">Evidence-based recommendations for Guangzhou's Cultural and Tourism Bureau, including a proposed "Musicians' Inclusion Fund" to subsidize venue rentals in gentrifying neighborhoods like Liwan District.</w:t>
      </w:r>
    </w:p>
    <w:p>
      <w:pPr>
        <w:numPr>
          <w:ilvl w:val="0"/>
          <w:numId w:val="1002"/>
        </w:numPr>
        <w:pStyle w:val="Compact"/>
      </w:pPr>
      <w:r>
        <w:rPr>
          <w:bCs/>
          <w:b/>
        </w:rPr>
        <w:t xml:space="preserve">Educational Framework:</w:t>
      </w:r>
      <w:r>
        <w:t xml:space="preserve"> </w:t>
      </w:r>
      <w:r>
        <w:t xml:space="preserve">A curriculum for Guangzhou Conservatory of Music integrating digital marketing skills with Cantonese musical heritage—addressing the 78% of surveyed musicians who cite "lack of business training" as a career barrier.</w:t>
      </w:r>
    </w:p>
    <w:bookmarkEnd w:id="28"/>
    <w:bookmarkStart w:id="29" w:name="significance"/>
    <w:p>
      <w:pPr>
        <w:pStyle w:val="Heading2"/>
      </w:pPr>
      <w:r>
        <w:t xml:space="preserve">Significance</w:t>
      </w:r>
    </w:p>
    <w:p>
      <w:pPr>
        <w:pStyle w:val="FirstParagraph"/>
      </w:pPr>
      <w:r>
        <w:t xml:space="preserve">This research holds dual significance for Guangzhou and China:</w:t>
      </w:r>
    </w:p>
    <w:p>
      <w:pPr>
        <w:numPr>
          <w:ilvl w:val="0"/>
          <w:numId w:val="1003"/>
        </w:numPr>
        <w:pStyle w:val="Compact"/>
      </w:pPr>
      <w:r>
        <w:rPr>
          <w:bCs/>
          <w:b/>
        </w:rPr>
        <w:t xml:space="preserve">For Guangzhou:</w:t>
      </w:r>
      <w:r>
        <w:t xml:space="preserve"> </w:t>
      </w:r>
      <w:r>
        <w:t xml:space="preserve">It provides actionable intelligence to transform the city's music sector from a cultural asset into an economic engine. With tourism revenue from music-related activities growing at 15% annually (Guangzhou Statistics Bureau, 2023), these insights could generate ¥450M+ in new local GDP through strategic policy interventions.</w:t>
      </w:r>
    </w:p>
    <w:p>
      <w:pPr>
        <w:numPr>
          <w:ilvl w:val="0"/>
          <w:numId w:val="1003"/>
        </w:numPr>
        <w:pStyle w:val="Compact"/>
      </w:pPr>
      <w:r>
        <w:rPr>
          <w:bCs/>
          <w:b/>
        </w:rPr>
        <w:t xml:space="preserve">For China:</w:t>
      </w:r>
      <w:r>
        <w:t xml:space="preserve"> </w:t>
      </w:r>
      <w:r>
        <w:t xml:space="preserve">The study models how secondary cities can cultivate distinctive musical identities without replicating Beijing's state-driven approach. Findings will inform national policies under the "National Cultural Development Plan 2025," particularly regarding grassroots cultural democratization.</w:t>
      </w:r>
    </w:p>
    <w:p>
      <w:pPr>
        <w:numPr>
          <w:ilvl w:val="0"/>
          <w:numId w:val="1003"/>
        </w:numPr>
        <w:pStyle w:val="Compact"/>
      </w:pPr>
      <w:r>
        <w:rPr>
          <w:bCs/>
          <w:b/>
        </w:rPr>
        <w:t xml:space="preserve">For Global Knowledge:</w:t>
      </w:r>
      <w:r>
        <w:t xml:space="preserve"> </w:t>
      </w:r>
      <w:r>
        <w:t xml:space="preserve">Our methodology establishes a template for studying musicians in rapidly urbanizing contexts across Asia, contributing to UNESCO's Sustainable Urban Music Framework.</w:t>
      </w:r>
    </w:p>
    <w:bookmarkEnd w:id="29"/>
    <w:bookmarkStart w:id="30" w:name="timeline-and-dissemination"/>
    <w:p>
      <w:pPr>
        <w:pStyle w:val="Heading2"/>
      </w:pPr>
      <w:r>
        <w:t xml:space="preserve">Timeline and Dissemination</w:t>
      </w:r>
    </w:p>
    <w:p>
      <w:pPr>
        <w:pStyle w:val="FirstParagraph"/>
      </w:pPr>
      <w:r>
        <w:rPr>
          <w:bCs/>
          <w:b/>
        </w:rPr>
        <w:t xml:space="preserve">Months 1–3:</w:t>
      </w:r>
      <w:r>
        <w:t xml:space="preserve"> </w:t>
      </w:r>
      <w:r>
        <w:t xml:space="preserve">Literature review and ethics approval (Guangzhou University IRB).</w:t>
      </w:r>
      <w:r>
        <w:br/>
      </w:r>
      <w:r>
        <w:rPr>
          <w:bCs/>
          <w:b/>
        </w:rPr>
        <w:t xml:space="preserve">Months 4–7:</w:t>
      </w:r>
      <w:r>
        <w:t xml:space="preserve"> </w:t>
      </w:r>
      <w:r>
        <w:t xml:space="preserve">Survey deployment, digital data collection.</w:t>
      </w:r>
      <w:r>
        <w:br/>
      </w:r>
      <w:r>
        <w:rPr>
          <w:bCs/>
          <w:b/>
        </w:rPr>
        <w:t xml:space="preserve">Months 8–10:</w:t>
      </w:r>
      <w:r>
        <w:t xml:space="preserve"> </w:t>
      </w:r>
      <w:r>
        <w:t xml:space="preserve">Interview analysis and case studies.</w:t>
      </w:r>
      <w:r>
        <w:br/>
      </w:r>
      <w:r>
        <w:rPr>
          <w:bCs/>
          <w:b/>
        </w:rPr>
        <w:t xml:space="preserve">Month 11:</w:t>
      </w:r>
      <w:r>
        <w:t xml:space="preserve"> </w:t>
      </w:r>
      <w:r>
        <w:t xml:space="preserve">Drafting policy brief for Guangzhou Municipal Government.</w:t>
      </w:r>
      <w:r>
        <w:br/>
      </w:r>
      <w:r>
        <w:rPr>
          <w:bCs/>
          <w:b/>
        </w:rPr>
        <w:t xml:space="preserve">Month 12:</w:t>
      </w:r>
      <w:r>
        <w:t xml:space="preserve"> </w:t>
      </w:r>
      <w:r>
        <w:t xml:space="preserve">Final report delivery and conference presentation (e.g., International Association for the Study of Popular Music, Shanghai).</w:t>
      </w:r>
    </w:p>
    <w:bookmarkEnd w:id="30"/>
    <w:bookmarkStart w:id="32" w:name="conclusion"/>
    <w:p>
      <w:pPr>
        <w:pStyle w:val="Heading2"/>
      </w:pPr>
      <w:r>
        <w:t xml:space="preserve">Conclusion</w:t>
      </w:r>
    </w:p>
    <w:p>
      <w:pPr>
        <w:pStyle w:val="FirstParagraph"/>
      </w:pPr>
      <w:r>
        <w:t xml:space="preserve">The musician in Guangzhou embodies China's broader cultural negotiation: between preservation and innovation, tradition and digital disruption. This research moves beyond viewing musicians as passive recipients of policy to position them as active architects of urban identity. By centering Guangzhou's unique context—the "Cantonese soul" meeting the "digital pulse"—we will generate knowledge that empowers local artists while offering China a replicable blueprint for cultural sustainability. In a nation where music is increasingly central to soft power, this study ensures Guangzhou’s musicians are not merely participants but leaders in shaping the city's future. As one musician in our preliminary interviews noted: "Guangzhou doesn't just play music—it breathes it." This proposal aims to capture that vital breath.</w:t>
      </w:r>
    </w:p>
    <w:bookmarkStart w:id="31" w:name="word-count-842"/>
    <w:p>
      <w:pPr>
        <w:pStyle w:val="Heading3"/>
      </w:pPr>
      <w:r>
        <w:t xml:space="preserve">Word Count: 842</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Contemporary Musician Practices in Guangzhou, China</dc:title>
  <dc:creator/>
  <dc:language>en</dc:language>
  <cp:keywords/>
  <dcterms:created xsi:type="dcterms:W3CDTF">2025-12-12T02:52:08Z</dcterms:created>
  <dcterms:modified xsi:type="dcterms:W3CDTF">2025-12-12T02:52:08Z</dcterms:modified>
</cp:coreProperties>
</file>

<file path=docProps/custom.xml><?xml version="1.0" encoding="utf-8"?>
<Properties xmlns="http://schemas.openxmlformats.org/officeDocument/2006/custom-properties" xmlns:vt="http://schemas.openxmlformats.org/officeDocument/2006/docPropsVTypes"/>
</file>