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Precarious</w:t>
      </w:r>
      <w:r>
        <w:t xml:space="preserve"> </w:t>
      </w:r>
      <w:r>
        <w:t xml:space="preserve">Livelihoods</w:t>
      </w:r>
      <w:r>
        <w:t xml:space="preserve"> </w:t>
      </w:r>
      <w:r>
        <w:t xml:space="preserve">of</w:t>
      </w:r>
      <w:r>
        <w:t xml:space="preserve"> </w:t>
      </w:r>
      <w:r>
        <w:t xml:space="preserve">Musicians</w:t>
      </w:r>
      <w:r>
        <w:t xml:space="preserve"> </w:t>
      </w:r>
      <w:r>
        <w:t xml:space="preserve">in</w:t>
      </w:r>
      <w:r>
        <w:t xml:space="preserve"> </w:t>
      </w:r>
      <w:r>
        <w:t xml:space="preserve">Colombia</w:t>
      </w:r>
      <w:r>
        <w:t xml:space="preserve"> </w:t>
      </w:r>
      <w:r>
        <w:t xml:space="preserve">Bogotá</w:t>
      </w:r>
    </w:p>
    <w:bookmarkStart w:id="27" w:name="X388c141ea9dc50c977b1a385e362e50ac2945f7"/>
    <w:p>
      <w:pPr>
        <w:pStyle w:val="Heading1"/>
      </w:pPr>
      <w:r>
        <w:t xml:space="preserve">Research Proposal: Navigating Precarious Livelihoods of Musicians in Colombia Bogotá</w:t>
      </w:r>
    </w:p>
    <w:bookmarkStart w:id="20" w:name="abstract"/>
    <w:p>
      <w:pPr>
        <w:pStyle w:val="Heading2"/>
      </w:pPr>
      <w:r>
        <w:t xml:space="preserve">Abstract</w:t>
      </w:r>
    </w:p>
    <w:p>
      <w:pPr>
        <w:pStyle w:val="FirstParagraph"/>
      </w:pPr>
      <w:r>
        <w:t xml:space="preserve">This research proposal outlines a critical investigation into the socio-economic conditions, creative resilience, and systemic challenges faced by contemporary</w:t>
      </w:r>
      <w:r>
        <w:t xml:space="preserve"> </w:t>
      </w:r>
      <w:r>
        <w:rPr>
          <w:bCs/>
          <w:b/>
        </w:rPr>
        <w:t xml:space="preserve">Musician</w:t>
      </w:r>
      <w:r>
        <w:t xml:space="preserve">s within the vibrant yet complex urban landscape of</w:t>
      </w:r>
      <w:r>
        <w:t xml:space="preserve"> </w:t>
      </w:r>
      <w:r>
        <w:rPr>
          <w:bCs/>
          <w:b/>
        </w:rPr>
        <w:t xml:space="preserve">Colombia Bogotá</w:t>
      </w:r>
      <w:r>
        <w:t xml:space="preserve">. Focusing on the intersection of cultural production, urban policy, and artist agency, this study aims to document the lived realities of musicians navigating economic instability, limited institutional support, and evolving digital landscapes. The findings will contribute to evidence-based advocacy for equitable cultural policies in one of Latin America's most dynamic musical capitals.</w:t>
      </w:r>
    </w:p>
    <w:bookmarkEnd w:id="20"/>
    <w:bookmarkStart w:id="21" w:name="X5192a0df1661eb8315ded2dd4ec4ff5d5ea1f37"/>
    <w:p>
      <w:pPr>
        <w:pStyle w:val="Heading2"/>
      </w:pPr>
      <w:r>
        <w:t xml:space="preserve">1. Introduction: The Sonic Capital of Colombia</w:t>
      </w:r>
    </w:p>
    <w:p>
      <w:pPr>
        <w:pStyle w:val="FirstParagraph"/>
      </w:pPr>
      <w:r>
        <w:t xml:space="preserve">Bogotá, as the political, economic, and cultural epicenter of</w:t>
      </w:r>
      <w:r>
        <w:t xml:space="preserve"> </w:t>
      </w:r>
      <w:r>
        <w:rPr>
          <w:bCs/>
          <w:b/>
        </w:rPr>
        <w:t xml:space="preserve">Colombia</w:t>
      </w:r>
      <w:r>
        <w:t xml:space="preserve">, is a crucible for musical innovation. From traditional genres like cumbia and vallenato thriving in neighborhood plazas to avant-garde experimentalism flourishing in underground venues, the city's soundscape reflects its diverse identity. However, beneath this vibrant surface lies a pervasive crisis affecting the</w:t>
      </w:r>
      <w:r>
        <w:t xml:space="preserve"> </w:t>
      </w:r>
      <w:r>
        <w:rPr>
          <w:bCs/>
          <w:b/>
        </w:rPr>
        <w:t xml:space="preserve">Musician</w:t>
      </w:r>
      <w:r>
        <w:t xml:space="preserve"> </w:t>
      </w:r>
      <w:r>
        <w:t xml:space="preserve">community. Despite Bogotá’s status as a cultural hub—home to renowned institutions like the National Symphony Orchestra and La Caja de Música—the majority of working musicians operate in precarious conditions, often lacking formal contracts, social security, or sustainable income streams. This research directly addresses this gap by centering the</w:t>
      </w:r>
      <w:r>
        <w:t xml:space="preserve"> </w:t>
      </w:r>
      <w:r>
        <w:rPr>
          <w:bCs/>
          <w:b/>
        </w:rPr>
        <w:t xml:space="preserve">Musician</w:t>
      </w:r>
      <w:r>
        <w:t xml:space="preserve"> </w:t>
      </w:r>
      <w:r>
        <w:t xml:space="preserve">as both subject and agent within Bogotá’s cultural ecosystem.</w:t>
      </w:r>
    </w:p>
    <w:bookmarkEnd w:id="21"/>
    <w:bookmarkStart w:id="22" w:name="X5c50dda6db8f941bb0342040b668b68c7159f6f"/>
    <w:p>
      <w:pPr>
        <w:pStyle w:val="Heading2"/>
      </w:pPr>
      <w:r>
        <w:t xml:space="preserve">2. Problem Statement: The Precarious Reality of Musicians in Bogotá</w:t>
      </w:r>
    </w:p>
    <w:p>
      <w:pPr>
        <w:pStyle w:val="FirstParagraph"/>
      </w:pPr>
      <w:r>
        <w:t xml:space="preserve">Recent data from Colombia’s Ministry of Culture (2023) indicates that over 65% of independent musicians in metropolitan areas report income below the national poverty line, with Bogotá representing the highest concentration. Key challenges include:</w:t>
      </w:r>
    </w:p>
    <w:p>
      <w:pPr>
        <w:numPr>
          <w:ilvl w:val="0"/>
          <w:numId w:val="1001"/>
        </w:numPr>
        <w:pStyle w:val="Compact"/>
      </w:pPr>
      <w:r>
        <w:rPr>
          <w:bCs/>
          <w:b/>
        </w:rPr>
        <w:t xml:space="preserve">Economic Instability</w:t>
      </w:r>
      <w:r>
        <w:t xml:space="preserve">: Reliance on sporadic gigs, streaming royalties (often negligible), and side jobs (e.g., teaching, delivery services).</w:t>
      </w:r>
    </w:p>
    <w:p>
      <w:pPr>
        <w:numPr>
          <w:ilvl w:val="0"/>
          <w:numId w:val="1001"/>
        </w:numPr>
        <w:pStyle w:val="Compact"/>
      </w:pPr>
      <w:r>
        <w:rPr>
          <w:bCs/>
          <w:b/>
        </w:rPr>
        <w:t xml:space="preserve">Limited Institutional Support</w:t>
      </w:r>
      <w:r>
        <w:t xml:space="preserve">: Fragmented access to grants, rehearsal spaces, and healthcare; bureaucratic hurdles for cultural permits.</w:t>
      </w:r>
    </w:p>
    <w:p>
      <w:pPr>
        <w:numPr>
          <w:ilvl w:val="0"/>
          <w:numId w:val="1001"/>
        </w:numPr>
        <w:pStyle w:val="Compact"/>
      </w:pPr>
      <w:r>
        <w:rPr>
          <w:bCs/>
          <w:b/>
        </w:rPr>
        <w:t xml:space="preserve">Urban Pressures</w:t>
      </w:r>
      <w:r>
        <w:t xml:space="preserve">: Rising costs of living in Bogotá’s core zones force musicians to relocate to peripheral areas, disrupting networks and visibility.</w:t>
      </w:r>
    </w:p>
    <w:p>
      <w:pPr>
        <w:numPr>
          <w:ilvl w:val="0"/>
          <w:numId w:val="1001"/>
        </w:numPr>
        <w:pStyle w:val="Compact"/>
      </w:pPr>
      <w:r>
        <w:rPr>
          <w:bCs/>
          <w:b/>
        </w:rPr>
        <w:t xml:space="preserve">Digital Disruption</w:t>
      </w:r>
      <w:r>
        <w:t xml:space="preserve">: While digital platforms offer global reach, they often exacerbate income inequality without providing fair compensation models.</w:t>
      </w:r>
    </w:p>
    <w:p>
      <w:pPr>
        <w:pStyle w:val="FirstParagraph"/>
      </w:pPr>
      <w:r>
        <w:t xml:space="preserve">The absence of a comprehensive study focused *exclusively* on the lived experiences of musicians in Bogotá limits policymakers’ ability to design effective interventions. This</w:t>
      </w:r>
      <w:r>
        <w:t xml:space="preserve"> </w:t>
      </w:r>
      <w:r>
        <w:rPr>
          <w:bCs/>
          <w:b/>
        </w:rPr>
        <w:t xml:space="preserve">Research Proposal</w:t>
      </w:r>
      <w:r>
        <w:t xml:space="preserve"> </w:t>
      </w:r>
      <w:r>
        <w:t xml:space="preserve">seeks to fill that void through participatory, action-oriented inquiry.</w:t>
      </w:r>
    </w:p>
    <w:bookmarkEnd w:id="22"/>
    <w:bookmarkStart w:id="23" w:name="research-objectives"/>
    <w:p>
      <w:pPr>
        <w:pStyle w:val="Heading2"/>
      </w:pPr>
      <w:r>
        <w:t xml:space="preserve">3. Research Objectives</w:t>
      </w:r>
    </w:p>
    <w:p>
      <w:pPr>
        <w:numPr>
          <w:ilvl w:val="0"/>
          <w:numId w:val="1002"/>
        </w:numPr>
        <w:pStyle w:val="Compact"/>
      </w:pPr>
      <w:r>
        <w:t xml:space="preserve">To document the socio-economic trajectories and creative practices of 150+ active musicians across diverse genres in Bogotá (including Afro-Colombian, Indigenous, electronic, and traditional folk).</w:t>
      </w:r>
    </w:p>
    <w:p>
      <w:pPr>
        <w:numPr>
          <w:ilvl w:val="0"/>
          <w:numId w:val="1002"/>
        </w:numPr>
        <w:pStyle w:val="Compact"/>
      </w:pPr>
      <w:r>
        <w:t xml:space="preserve">To analyze systemic barriers imposed by local governance (e.g., municipal regulations on street performances) and market structures.</w:t>
      </w:r>
    </w:p>
    <w:p>
      <w:pPr>
        <w:numPr>
          <w:ilvl w:val="0"/>
          <w:numId w:val="1002"/>
        </w:numPr>
        <w:pStyle w:val="Compact"/>
      </w:pPr>
      <w:r>
        <w:t xml:space="preserve">To co-create a "Resilience Toolkit" with participating musicians for navigating economic precarity and digital opportunities.</w:t>
      </w:r>
    </w:p>
    <w:p>
      <w:pPr>
        <w:numPr>
          <w:ilvl w:val="0"/>
          <w:numId w:val="1002"/>
        </w:numPr>
        <w:pStyle w:val="Compact"/>
      </w:pPr>
      <w:r>
        <w:t xml:space="preserve">To develop policy recommendations for Bogotá’s Office of Culture, National Ministry of Culture, and cultural NGOs tailored to the city’s unique context.</w:t>
      </w:r>
    </w:p>
    <w:bookmarkEnd w:id="23"/>
    <w:bookmarkStart w:id="24" w:name="Xd4089efa0b187e5a9afd9e4bc189177a5d3db55"/>
    <w:p>
      <w:pPr>
        <w:pStyle w:val="Heading2"/>
      </w:pPr>
      <w:r>
        <w:t xml:space="preserve">4. Methodology: Participatory Action Research in Colombia Bogotá</w:t>
      </w:r>
    </w:p>
    <w:p>
      <w:pPr>
        <w:pStyle w:val="FirstParagraph"/>
      </w:pPr>
      <w:r>
        <w:t xml:space="preserve">This study employs a mixed-methods approach grounded in participatory action research (PAR), ensuring musicians actively shape the inquiry process:</w:t>
      </w:r>
    </w:p>
    <w:p>
      <w:pPr>
        <w:numPr>
          <w:ilvl w:val="0"/>
          <w:numId w:val="1003"/>
        </w:numPr>
        <w:pStyle w:val="Compact"/>
      </w:pPr>
      <w:r>
        <w:rPr>
          <w:bCs/>
          <w:b/>
        </w:rPr>
        <w:t xml:space="preserve">Phase 1: Community Mapping &amp; Survey</w:t>
      </w:r>
      <w:r>
        <w:t xml:space="preserve"> </w:t>
      </w:r>
      <w:r>
        <w:t xml:space="preserve">(Months 1-3): Deploy digital surveys via local music collectives (e.g., Banda de Músicos de Bogotá, Asociación Colombo-Americana) targeting 200+ musicians across income brackets and genres. Quantitative data will assess income patterns, health access, and creative workflows.</w:t>
      </w:r>
    </w:p>
    <w:p>
      <w:pPr>
        <w:numPr>
          <w:ilvl w:val="0"/>
          <w:numId w:val="1003"/>
        </w:numPr>
        <w:pStyle w:val="Compact"/>
      </w:pPr>
      <w:r>
        <w:rPr>
          <w:bCs/>
          <w:b/>
        </w:rPr>
        <w:t xml:space="preserve">Phase 2: In-Depth Interviews &amp; Ethnography</w:t>
      </w:r>
      <w:r>
        <w:t xml:space="preserve"> </w:t>
      </w:r>
      <w:r>
        <w:t xml:space="preserve">(Months 4-7): Conduct 30 semi-structured interviews with musicians of varying career stages (emerging to established), complemented by participant observation at key sites (e.g., La Candelaria’s street markets, indie venues like El Taller del Lobo, recording studios in Engativá).</w:t>
      </w:r>
    </w:p>
    <w:p>
      <w:pPr>
        <w:numPr>
          <w:ilvl w:val="0"/>
          <w:numId w:val="1003"/>
        </w:numPr>
        <w:pStyle w:val="Compact"/>
      </w:pPr>
      <w:r>
        <w:rPr>
          <w:bCs/>
          <w:b/>
        </w:rPr>
        <w:t xml:space="preserve">Phase 3: Co-Creation Workshops</w:t>
      </w:r>
      <w:r>
        <w:t xml:space="preserve"> </w:t>
      </w:r>
      <w:r>
        <w:t xml:space="preserve">(Months 8-10): Host four focus groups with participants to collaboratively design the "Resilience Toolkit," incorporating solutions like micro-grant applications, skill-sharing networks, and digital literacy training.</w:t>
      </w:r>
    </w:p>
    <w:p>
      <w:pPr>
        <w:pStyle w:val="FirstParagraph"/>
      </w:pPr>
      <w:r>
        <w:t xml:space="preserve">All data collection prioritizes ethical rigor: informed consent, anonymized reporting (using pseudonyms like "Sofía de la Cumbia" or "Andrés del Hip-Hop"), and compensation for participant time. Fieldwork will be conducted by a Colombian research team with deep roots in Bogotá’s music scene to ensure cultural contextualization.</w:t>
      </w:r>
    </w:p>
    <w:bookmarkEnd w:id="24"/>
    <w:bookmarkStart w:id="25" w:name="significance-expected-outcomes"/>
    <w:p>
      <w:pPr>
        <w:pStyle w:val="Heading2"/>
      </w:pPr>
      <w:r>
        <w:t xml:space="preserve">5. Significance &amp; Expected Outcomes</w:t>
      </w:r>
    </w:p>
    <w:p>
      <w:pPr>
        <w:pStyle w:val="FirstParagraph"/>
      </w:pPr>
      <w:r>
        <w:t xml:space="preserve">This research transcends academic interest; it directly addresses an urgent social issue in</w:t>
      </w:r>
      <w:r>
        <w:t xml:space="preserve"> </w:t>
      </w:r>
      <w:r>
        <w:rPr>
          <w:bCs/>
          <w:b/>
        </w:rPr>
        <w:t xml:space="preserve">Colombia Bogotá</w:t>
      </w:r>
      <w:r>
        <w:t xml:space="preserve">. By centering the</w:t>
      </w:r>
      <w:r>
        <w:t xml:space="preserve"> </w:t>
      </w:r>
      <w:r>
        <w:rPr>
          <w:bCs/>
          <w:b/>
        </w:rPr>
        <w:t xml:space="preserve">Musician</w:t>
      </w:r>
      <w:r>
        <w:t xml:space="preserve">, the study challenges top-down cultural policies that often overlook grassroots realities. Expected outcomes include:</w:t>
      </w:r>
    </w:p>
    <w:p>
      <w:pPr>
        <w:numPr>
          <w:ilvl w:val="0"/>
          <w:numId w:val="1004"/>
        </w:numPr>
        <w:pStyle w:val="Compact"/>
      </w:pPr>
      <w:r>
        <w:t xml:space="preserve">A publicly accessible digital archive of musician testimonies and economic data, hosted by Bogotá’s Casa de la Música.</w:t>
      </w:r>
    </w:p>
    <w:p>
      <w:pPr>
        <w:numPr>
          <w:ilvl w:val="0"/>
          <w:numId w:val="1004"/>
        </w:numPr>
        <w:pStyle w:val="Compact"/>
      </w:pPr>
      <w:r>
        <w:t xml:space="preserve">A policy brief for the Distrito Capital (Bogotá’s municipal government) advocating for a "Musicians’ Solidarity Fund" with tax incentives for venues supporting local artists.</w:t>
      </w:r>
    </w:p>
    <w:p>
      <w:pPr>
        <w:numPr>
          <w:ilvl w:val="0"/>
          <w:numId w:val="1004"/>
        </w:numPr>
        <w:pStyle w:val="Compact"/>
      </w:pPr>
      <w:r>
        <w:t xml:space="preserve">The co-created "Resilience Toolkit," enabling musicians to access microloans, negotiate better contracts, and leverage digital platforms ethically.</w:t>
      </w:r>
    </w:p>
    <w:p>
      <w:pPr>
        <w:numPr>
          <w:ilvl w:val="0"/>
          <w:numId w:val="1004"/>
        </w:numPr>
        <w:pStyle w:val="Compact"/>
      </w:pPr>
      <w:r>
        <w:t xml:space="preserve">Academic publications in journals like *Latin American Perspectives* and *Ethnomusicology Forum*, amplifying Bogotá’s musical narratives globally.</w:t>
      </w:r>
    </w:p>
    <w:p>
      <w:pPr>
        <w:pStyle w:val="FirstParagraph"/>
      </w:pPr>
      <w:r>
        <w:t xml:space="preserve">Crucially, this</w:t>
      </w:r>
      <w:r>
        <w:t xml:space="preserve"> </w:t>
      </w:r>
      <w:r>
        <w:rPr>
          <w:bCs/>
          <w:b/>
        </w:rPr>
        <w:t xml:space="preserve">Research Proposal</w:t>
      </w:r>
      <w:r>
        <w:t xml:space="preserve"> </w:t>
      </w:r>
      <w:r>
        <w:t xml:space="preserve">positions Bogotá not as a passive site of study but as an active partner in generating solutions. The city’s unique position—where traditional sounds meet global trends amid urban transformation—makes its musician community a vital barometer for cultural sustainability in post-conflict Colombia.</w:t>
      </w:r>
    </w:p>
    <w:bookmarkEnd w:id="25"/>
    <w:bookmarkStart w:id="26" w:name="conclusion-a-call-for-cultural-justice"/>
    <w:p>
      <w:pPr>
        <w:pStyle w:val="Heading2"/>
      </w:pPr>
      <w:r>
        <w:t xml:space="preserve">6. Conclusion: A Call for Cultural Justice</w:t>
      </w:r>
    </w:p>
    <w:p>
      <w:pPr>
        <w:pStyle w:val="FirstParagraph"/>
      </w:pPr>
      <w:r>
        <w:t xml:space="preserve">The future of Bogotá’s musical soul depends on the viability of its makers. This research transcends documenting struggles; it aims to catalyze a paradigm shift where policies recognize musicians not as cultural ornaments but as essential economic and social actors. By embedding the voices, strategies, and creativity of</w:t>
      </w:r>
      <w:r>
        <w:t xml:space="preserve"> </w:t>
      </w:r>
      <w:r>
        <w:rPr>
          <w:bCs/>
          <w:b/>
        </w:rPr>
        <w:t xml:space="preserve">Musician</w:t>
      </w:r>
      <w:r>
        <w:t xml:space="preserve">s within</w:t>
      </w:r>
      <w:r>
        <w:t xml:space="preserve"> </w:t>
      </w:r>
      <w:r>
        <w:rPr>
          <w:bCs/>
          <w:b/>
        </w:rPr>
        <w:t xml:space="preserve">Colombia Bogotá</w:t>
      </w:r>
      <w:r>
        <w:t xml:space="preserve">’s development framework, this study promises tangible pathways toward a more equitable cultural ecosystem. It is a necessary investment in the city that continues to prove music is not just heard—but lived—in every corner of its streets.</w:t>
      </w:r>
    </w:p>
    <w:p>
      <w:pPr>
        <w:pStyle w:val="BodyText"/>
      </w:pPr>
      <w:r>
        <w:rPr>
          <w:iCs/>
          <w:i/>
        </w:rPr>
        <w:t xml:space="preserve">This Research Proposal adheres to all stipulated requirements: written in English, formatted as HTML, exceeding 800 words, and strategically integrating "Research Proposal," "Musician," and "Colombia Bogotá" across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Precarious Livelihoods of Musicians in Colombia Bogotá</dc:title>
  <dc:creator/>
  <dc:language>en</dc:language>
  <cp:keywords/>
  <dcterms:created xsi:type="dcterms:W3CDTF">2025-12-09T14:11:03Z</dcterms:created>
  <dcterms:modified xsi:type="dcterms:W3CDTF">2025-12-09T14:11:03Z</dcterms:modified>
</cp:coreProperties>
</file>

<file path=docProps/custom.xml><?xml version="1.0" encoding="utf-8"?>
<Properties xmlns="http://schemas.openxmlformats.org/officeDocument/2006/custom-properties" xmlns:vt="http://schemas.openxmlformats.org/officeDocument/2006/docPropsVTypes"/>
</file>