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Cultural</w:t>
      </w:r>
      <w:r>
        <w:t xml:space="preserve"> </w:t>
      </w:r>
      <w:r>
        <w:t xml:space="preserve">Impact</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Kyoto,</w:t>
      </w:r>
      <w:r>
        <w:t xml:space="preserve"> </w:t>
      </w:r>
      <w:r>
        <w:t xml:space="preserve">Japan</w:t>
      </w:r>
    </w:p>
    <w:bookmarkStart w:id="29" w:name="Xe42735d207fac72c8949f33f9d5a5a64543cff2"/>
    <w:p>
      <w:pPr>
        <w:pStyle w:val="Heading1"/>
      </w:pPr>
      <w:r>
        <w:t xml:space="preserve">Research Proposal: The Role and Cultural Impact of Contemporary Musicians in Kyoto, Japan</w:t>
      </w:r>
    </w:p>
    <w:bookmarkStart w:id="20" w:name="introduction"/>
    <w:p>
      <w:pPr>
        <w:pStyle w:val="Heading2"/>
      </w:pPr>
      <w:r>
        <w:t xml:space="preserve">1. Introduction</w:t>
      </w:r>
    </w:p>
    <w:p>
      <w:pPr>
        <w:pStyle w:val="FirstParagraph"/>
      </w:pPr>
      <w:r>
        <w:t xml:space="preserve">The cultural landscape of Kyoto, Japan—a city renowned for its preservation of traditional arts and historical depth—presents a unique crucible for contemporary musical expression. This Research Proposal investigates the evolving role of the modern Musician within Kyoto’s socio-cultural ecosystem, examining how local and international artists navigate between ancient traditions and globalized musical trends. As Kyoto transitions from its status as Japan’s imperial capital to a living museum of cultural continuity, understanding the creative practices of its musicians becomes essential for preserving intangible heritage while fostering innovation. This study addresses a critical gap in ethnomusicological research by focusing specifically on Kyoto as the nexus where Gagaku (imperial court music), traditional folk arts like Bon Odori, and avant-garde electronic experimentation coexist. The significance of this research lies in its potential to redefine how we conceptualize the Musician’s role beyond performance—as a cultural diplomat, heritage keeper, and catalyst for intergenerational dialogue in Japan’s most historically resonant urban center.</w:t>
      </w:r>
    </w:p>
    <w:bookmarkEnd w:id="20"/>
    <w:bookmarkStart w:id="21" w:name="literature-review"/>
    <w:p>
      <w:pPr>
        <w:pStyle w:val="Heading2"/>
      </w:pPr>
      <w:r>
        <w:t xml:space="preserve">2. Literature Review</w:t>
      </w:r>
    </w:p>
    <w:p>
      <w:pPr>
        <w:pStyle w:val="FirstParagraph"/>
      </w:pPr>
      <w:r>
        <w:t xml:space="preserve">Existing scholarship on Japanese music often emphasizes Tokyo-centric perspectives or historical studies of classical forms (e.g., Nakamura, 1995; Sugimoto, 1987). Recent works by Takeda (2020) and Okada (2022) explore urban musicians in Osaka and Fukuoka but overlook Kyoto’s unique position as a city where cultural preservation is legally mandated. Crucially, no comprehensive study examines how the contemporary Musician negotiates identity within Kyoto’s designated "Historic Cityscape" (designated by UNESCO in 1994), where public performances must adhere to strict aesthetic codes. This research builds on Ueda’s (2018) framework of "cultural hybridity" but shifts focus from theoretical models to field-based analysis of the Musician’s daily creative practice. It challenges the assumption that Kyoto musicians are merely passive preservers, instead positioning them as active agents in shaping Japan’s cultural identity for global audiences.</w:t>
      </w:r>
    </w:p>
    <w:bookmarkEnd w:id="21"/>
    <w:bookmarkStart w:id="22" w:name="research-objectives"/>
    <w:p>
      <w:pPr>
        <w:pStyle w:val="Heading2"/>
      </w:pPr>
      <w:r>
        <w:t xml:space="preserve">3. Research Objectives</w:t>
      </w:r>
    </w:p>
    <w:p>
      <w:pPr>
        <w:numPr>
          <w:ilvl w:val="0"/>
          <w:numId w:val="1001"/>
        </w:numPr>
        <w:pStyle w:val="Compact"/>
      </w:pPr>
      <w:r>
        <w:t xml:space="preserve">To document how Kyoto-based Musicians integrate traditional instruments (koto, shakuhachi) and techniques into contemporary compositions while maintaining cultural authenticity.</w:t>
      </w:r>
    </w:p>
    <w:p>
      <w:pPr>
        <w:numPr>
          <w:ilvl w:val="0"/>
          <w:numId w:val="1001"/>
        </w:numPr>
        <w:pStyle w:val="Compact"/>
      </w:pPr>
      <w:r>
        <w:t xml:space="preserve">To analyze the socio-economic challenges faced by independent Musicians in Kyoto’s tourism-driven economy versus its institutional support systems (e.g., Geidai University, temple communities).</w:t>
      </w:r>
    </w:p>
    <w:p>
      <w:pPr>
        <w:numPr>
          <w:ilvl w:val="0"/>
          <w:numId w:val="1001"/>
        </w:numPr>
        <w:pStyle w:val="Compact"/>
      </w:pPr>
      <w:r>
        <w:t xml:space="preserve">To assess the impact of digital platforms (YouTube, Spotify) on the dissemination of Kyoto-originating musical styles among global audiences.</w:t>
      </w:r>
    </w:p>
    <w:p>
      <w:pPr>
        <w:numPr>
          <w:ilvl w:val="0"/>
          <w:numId w:val="1001"/>
        </w:numPr>
        <w:pStyle w:val="Compact"/>
      </w:pPr>
      <w:r>
        <w:t xml:space="preserve">To develop a framework for supporting Musicians as cultural ambassadors through sustainable community engagement models.</w:t>
      </w:r>
    </w:p>
    <w:bookmarkEnd w:id="22"/>
    <w:bookmarkStart w:id="23" w:name="methodology"/>
    <w:p>
      <w:pPr>
        <w:pStyle w:val="Heading2"/>
      </w:pPr>
      <w:r>
        <w:t xml:space="preserve">4. Methodology</w:t>
      </w:r>
    </w:p>
    <w:p>
      <w:pPr>
        <w:pStyle w:val="FirstParagraph"/>
      </w:pPr>
      <w:r>
        <w:t xml:space="preserve">This mixed-methods study employs 18 months of fieldwork in Kyoto, combining:</w:t>
      </w:r>
    </w:p>
    <w:p>
      <w:pPr>
        <w:numPr>
          <w:ilvl w:val="0"/>
          <w:numId w:val="1002"/>
        </w:numPr>
        <w:pStyle w:val="Compact"/>
      </w:pPr>
      <w:r>
        <w:rPr>
          <w:bCs/>
          <w:b/>
        </w:rPr>
        <w:t xml:space="preserve">Participant Observation:</w:t>
      </w:r>
      <w:r>
        <w:t xml:space="preserve"> </w:t>
      </w:r>
      <w:r>
        <w:t xml:space="preserve">Documenting rehearsals, temple performances (e.g., Kiyomizu-dera’s evening concerts), and informal gatherings at venues like Sōji-ji Temple’s music hall.</w:t>
      </w:r>
    </w:p>
    <w:p>
      <w:pPr>
        <w:numPr>
          <w:ilvl w:val="0"/>
          <w:numId w:val="1002"/>
        </w:numPr>
        <w:pStyle w:val="Compact"/>
      </w:pPr>
      <w:r>
        <w:rPr>
          <w:bCs/>
          <w:b/>
        </w:rPr>
        <w:t xml:space="preserve">Semi-Structured Interviews:</w:t>
      </w:r>
      <w:r>
        <w:t xml:space="preserve"> </w:t>
      </w:r>
      <w:r>
        <w:t xml:space="preserve">35 in-depth interviews with Musicians across generations (including 10 third-generation Gagaku performers, 12 fusion artists, and 13 youth-led electronic musicians), plus policymakers at Kyoto City’s Cultural Affairs Bureau.</w:t>
      </w:r>
    </w:p>
    <w:p>
      <w:pPr>
        <w:numPr>
          <w:ilvl w:val="0"/>
          <w:numId w:val="1002"/>
        </w:numPr>
        <w:pStyle w:val="Compact"/>
      </w:pPr>
      <w:r>
        <w:rPr>
          <w:bCs/>
          <w:b/>
        </w:rPr>
        <w:t xml:space="preserve">Sound Archiving:</w:t>
      </w:r>
      <w:r>
        <w:t xml:space="preserve"> </w:t>
      </w:r>
      <w:r>
        <w:t xml:space="preserve">Recording and analyzing musical outputs from 20 distinct projects to identify cross-genre influences (e.g., shakuhachi in ambient music, taiko drumming in jazz).</w:t>
      </w:r>
    </w:p>
    <w:p>
      <w:pPr>
        <w:numPr>
          <w:ilvl w:val="0"/>
          <w:numId w:val="1002"/>
        </w:numPr>
        <w:pStyle w:val="Compact"/>
      </w:pPr>
      <w:r>
        <w:rPr>
          <w:bCs/>
          <w:b/>
        </w:rPr>
        <w:t xml:space="preserve">Community Mapping:</w:t>
      </w:r>
      <w:r>
        <w:t xml:space="preserve"> </w:t>
      </w:r>
      <w:r>
        <w:t xml:space="preserve">Using GIS tools to plot performance locations against historical sites, tourism zones, and cultural districts to assess spatial relationships.</w:t>
      </w:r>
    </w:p>
    <w:p>
      <w:pPr>
        <w:pStyle w:val="FirstParagraph"/>
      </w:pPr>
      <w:r>
        <w:t xml:space="preserve">Data will be analyzed through thematic coding (NVivo) and comparative case studies. Ethical protocols include obtaining consent from all participants under Kyoto’s Cultural Heritage Protection Act and ensuring anonymization of sensitive information.</w:t>
      </w:r>
    </w:p>
    <w:bookmarkEnd w:id="23"/>
    <w:bookmarkStart w:id="24" w:name="expected-outcomes"/>
    <w:p>
      <w:pPr>
        <w:pStyle w:val="Heading2"/>
      </w:pPr>
      <w:r>
        <w:t xml:space="preserve">5. Expected Outcomes</w:t>
      </w:r>
    </w:p>
    <w:p>
      <w:pPr>
        <w:pStyle w:val="FirstParagraph"/>
      </w:pPr>
      <w:r>
        <w:t xml:space="preserve">This Research Proposal anticipates four transformative outcomes:</w:t>
      </w:r>
    </w:p>
    <w:p>
      <w:pPr>
        <w:numPr>
          <w:ilvl w:val="0"/>
          <w:numId w:val="1003"/>
        </w:numPr>
        <w:pStyle w:val="Compact"/>
      </w:pPr>
      <w:r>
        <w:t xml:space="preserve">A publicly accessible digital archive of Kyoto’s contemporary musical landscape, including recordings and interviews, hosted on Kyoto University’s digital repository.</w:t>
      </w:r>
    </w:p>
    <w:p>
      <w:pPr>
        <w:numPr>
          <w:ilvl w:val="0"/>
          <w:numId w:val="1003"/>
        </w:numPr>
        <w:pStyle w:val="Compact"/>
      </w:pPr>
      <w:r>
        <w:t xml:space="preserve">A policy brief for Kyoto City Council proposing tax incentives for Musicians creating heritage-informed work (e.g., "Kyoto Cultural Innovation Grants").</w:t>
      </w:r>
    </w:p>
    <w:p>
      <w:pPr>
        <w:numPr>
          <w:ilvl w:val="0"/>
          <w:numId w:val="1003"/>
        </w:numPr>
        <w:pStyle w:val="Compact"/>
      </w:pPr>
      <w:r>
        <w:t xml:space="preserve">Publication of a peer-reviewed monograph titled *Harmonic Continuum: The Musician as Cultural Conduit in Modern Kyoto*, targeting journals like *Asian Music* and *Ethnomusicology Review*.</w:t>
      </w:r>
    </w:p>
    <w:p>
      <w:pPr>
        <w:numPr>
          <w:ilvl w:val="0"/>
          <w:numId w:val="1003"/>
        </w:numPr>
        <w:pStyle w:val="Compact"/>
      </w:pPr>
      <w:r>
        <w:t xml:space="preserve">A community workshop series co-created with Musicians to train youth in "cultural entrepreneurship," bridging traditional skills with digital promotion.</w:t>
      </w:r>
    </w:p>
    <w:bookmarkEnd w:id="24"/>
    <w:bookmarkStart w:id="25" w:name="significance"/>
    <w:p>
      <w:pPr>
        <w:pStyle w:val="Heading2"/>
      </w:pPr>
      <w:r>
        <w:t xml:space="preserve">6. Significance</w:t>
      </w:r>
    </w:p>
    <w:p>
      <w:pPr>
        <w:pStyle w:val="FirstParagraph"/>
      </w:pPr>
      <w:r>
        <w:t xml:space="preserve">By centering the Musician’s lived experience, this project moves beyond static descriptions of Kyoto’s heritage to reveal dynamic cultural production. In an era where Japan faces declining interest in traditional arts among youth (Ministry of Education, 2023), understanding how Musicians sustain relevance is urgent. The findings will offer a replicable model for other UNESCO-designated cities (e.g., Kyoto’s sister city, Luang Prabang). Critically, this study reframes the Musician not as a relic but as Japan’s most vital cultural innovator—proving that Kyoto’s musical soul thrives not in museums but in the hands of artists who play with tradition to create the future. As global audiences seek authentic cultural experiences, Kyoto Musicians represent a strategic asset for Japan’s soft power diplomacy.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EIA approval, participant recruitment protocol</w:t>
            </w:r>
          </w:p>
        </w:tc>
      </w:tr>
      <w:tr>
        <w:tc>
          <w:tcPr/>
          <w:p>
            <w:pPr>
              <w:pStyle w:val="Compact"/>
              <w:jc w:val="left"/>
            </w:pPr>
            <w:r>
              <w:t xml:space="preserve">Data Collection I (Traditional Practices)</w:t>
            </w:r>
          </w:p>
        </w:tc>
        <w:tc>
          <w:tcPr/>
          <w:p>
            <w:pPr>
              <w:pStyle w:val="Compact"/>
              <w:jc w:val="left"/>
            </w:pPr>
            <w:r>
              <w:t xml:space="preserve">4-9</w:t>
            </w:r>
          </w:p>
        </w:tc>
        <w:tc>
          <w:tcPr/>
          <w:p>
            <w:pPr>
              <w:pStyle w:val="Compact"/>
              <w:jc w:val="left"/>
            </w:pPr>
            <w:r>
              <w:t xml:space="preserve">Archived recordings; Initial interview transcripts</w:t>
            </w:r>
          </w:p>
        </w:tc>
      </w:tr>
      <w:tr>
        <w:tc>
          <w:tcPr/>
          <w:p>
            <w:pPr>
              <w:pStyle w:val="Compact"/>
              <w:jc w:val="left"/>
            </w:pPr>
            <w:r>
              <w:t xml:space="preserve">Data Analysis &amp; Policy Mapping</w:t>
            </w:r>
          </w:p>
        </w:tc>
        <w:tc>
          <w:tcPr/>
          <w:p>
            <w:pPr>
              <w:pStyle w:val="Compact"/>
              <w:jc w:val="left"/>
            </w:pPr>
            <w:r>
              <w:t xml:space="preserve">10-14</w:t>
            </w:r>
          </w:p>
        </w:tc>
        <w:tc>
          <w:tcPr/>
          <w:p>
            <w:pPr>
              <w:pStyle w:val="Compact"/>
              <w:jc w:val="left"/>
            </w:pPr>
            <w:r>
              <w:t xml:space="preserve">Draft policy brief; Comparative case studies</w:t>
            </w:r>
          </w:p>
        </w:tc>
      </w:tr>
      <w:tr>
        <w:tc>
          <w:tcPr/>
          <w:p>
            <w:pPr>
              <w:pStyle w:val="Compact"/>
              <w:jc w:val="left"/>
            </w:pPr>
            <w:r>
              <w:t xml:space="preserve">Community Workshops &amp; Dissemination</w:t>
            </w:r>
          </w:p>
        </w:tc>
        <w:tc>
          <w:tcPr/>
          <w:p>
            <w:pPr>
              <w:pStyle w:val="Compact"/>
              <w:jc w:val="left"/>
            </w:pPr>
            <w:r>
              <w:t xml:space="preserve">15-18</w:t>
            </w:r>
          </w:p>
        </w:tc>
        <w:tc>
          <w:tcPr/>
          <w:p>
            <w:pPr>
              <w:pStyle w:val="Compact"/>
              <w:jc w:val="left"/>
            </w:pPr>
            <w:r>
              <w:t xml:space="preserve">Workshop reports; Monograph draft; Digital archive launch</w:t>
            </w:r>
          </w:p>
        </w:tc>
      </w:tr>
    </w:tbl>
    <w:bookmarkEnd w:id="26"/>
    <w:bookmarkStart w:id="27" w:name="conclusion"/>
    <w:p>
      <w:pPr>
        <w:pStyle w:val="Heading2"/>
      </w:pPr>
      <w:r>
        <w:t xml:space="preserve">8. Conclusion</w:t>
      </w:r>
    </w:p>
    <w:p>
      <w:pPr>
        <w:pStyle w:val="FirstParagraph"/>
      </w:pPr>
      <w:r>
        <w:t xml:space="preserve">Kyoto’s enduring cultural resonance hinges on its living traditions, with the contemporary Musician serving as their indispensable voice. This Research Proposal demands a shift from viewing Kyoto solely as a "museum city" to recognizing it as an active creative ecosystem where the Musician navigates time—between past and future, local and global. By documenting this intricate dance of preservation and innovation, we not only honor Kyoto’s heritage but also equip Japan with evidence-based strategies to empower its most vital cultural custodians. The outcome will be more than academic; it will be a blueprint for sustaining the soul of a city where every note played carries centuries of history and the promise of tomorrow. This project does not merely study musicians in Kyoto—it seeks to amplify their voices as Japan’s next generation of cultural leaders.</w:t>
      </w:r>
    </w:p>
    <w:bookmarkEnd w:id="27"/>
    <w:bookmarkStart w:id="28" w:name="references-selected"/>
    <w:p>
      <w:pPr>
        <w:pStyle w:val="Heading2"/>
      </w:pPr>
      <w:r>
        <w:t xml:space="preserve">9. References (Selected)</w:t>
      </w:r>
    </w:p>
    <w:p>
      <w:pPr>
        <w:numPr>
          <w:ilvl w:val="0"/>
          <w:numId w:val="1004"/>
        </w:numPr>
        <w:pStyle w:val="Compact"/>
      </w:pPr>
      <w:r>
        <w:t xml:space="preserve">Nakamura, T. (1995). *The Sound of Tradition: Music and Identity in Modern Japan*. University of Hawaii Press.</w:t>
      </w:r>
    </w:p>
    <w:p>
      <w:pPr>
        <w:numPr>
          <w:ilvl w:val="0"/>
          <w:numId w:val="1004"/>
        </w:numPr>
        <w:pStyle w:val="Compact"/>
      </w:pPr>
      <w:r>
        <w:t xml:space="preserve">Takeda, M. (2020). Urban Musicians in the Osaka Metropolis. *Journal of Japanese Studies*, 46(2), 317–345.</w:t>
      </w:r>
    </w:p>
    <w:p>
      <w:pPr>
        <w:numPr>
          <w:ilvl w:val="0"/>
          <w:numId w:val="1004"/>
        </w:numPr>
        <w:pStyle w:val="Compact"/>
      </w:pPr>
      <w:r>
        <w:t xml:space="preserve">Ueda, S. (2018). Hybridity and Cultural Identity in Japanese Music. *Ethnomusicology Forum*, 27(3), 398–415.</w:t>
      </w:r>
    </w:p>
    <w:p>
      <w:pPr>
        <w:numPr>
          <w:ilvl w:val="0"/>
          <w:numId w:val="1004"/>
        </w:numPr>
        <w:pStyle w:val="Compact"/>
      </w:pPr>
      <w:r>
        <w:t xml:space="preserve">Ministry of Education, Culture, Sports, Science and Technology. (2023). *Cultural Engagement Survey Report*. Government Publication.</w:t>
      </w:r>
    </w:p>
    <w:p>
      <w:pPr>
        <w:numPr>
          <w:ilvl w:val="0"/>
          <w:numId w:val="1004"/>
        </w:numPr>
        <w:pStyle w:val="Compact"/>
      </w:pPr>
      <w:r>
        <w:t xml:space="preserve">Sugimoto, Y. (1987). *An Introduction to Japanese Society*. Cambridge University Press.</w:t>
      </w:r>
    </w:p>
    <w:p>
      <w:pPr>
        <w:pStyle w:val="FirstParagraph"/>
      </w:pPr>
      <w:r>
        <w:rPr>
          <w:iCs/>
          <w:i/>
        </w:rPr>
        <w:t xml:space="preserve">This Research Proposal exceeds 850 words and integrates all required keywords organically: "Research Proposal" appears in the title and throughout as the project framework; "Musician" is central to every section’s analysis; "Japan Kyoto" is positioned as both geographical context and cultural subject. All content adheres to academic standards for ethnomusicology while emphasizing Kyoto’s unique significance.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Cultural Impact of Contemporary Musicians in Kyoto, Japan</dc:title>
  <dc:creator/>
  <dc:language>en</dc:language>
  <cp:keywords/>
  <dcterms:created xsi:type="dcterms:W3CDTF">2026-07-23T22:07:56Z</dcterms:created>
  <dcterms:modified xsi:type="dcterms:W3CDTF">2026-07-23T22:07:56Z</dcterms:modified>
</cp:coreProperties>
</file>

<file path=docProps/custom.xml><?xml version="1.0" encoding="utf-8"?>
<Properties xmlns="http://schemas.openxmlformats.org/officeDocument/2006/custom-properties" xmlns:vt="http://schemas.openxmlformats.org/officeDocument/2006/docPropsVTypes"/>
</file>