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Kuala</w:t>
      </w:r>
      <w:r>
        <w:t xml:space="preserve"> </w:t>
      </w:r>
      <w:r>
        <w:t xml:space="preserve">Lumpur's</w:t>
      </w:r>
      <w:r>
        <w:t xml:space="preserve"> </w:t>
      </w:r>
      <w:r>
        <w:t xml:space="preserve">Contemporary</w:t>
      </w:r>
      <w:r>
        <w:t xml:space="preserve"> </w:t>
      </w:r>
      <w:r>
        <w:t xml:space="preserve">Music</w:t>
      </w:r>
      <w:r>
        <w:t xml:space="preserve"> </w:t>
      </w:r>
      <w:r>
        <w:t xml:space="preserve">Ecosystem,</w:t>
      </w:r>
      <w:r>
        <w:t xml:space="preserve"> </w:t>
      </w:r>
      <w:r>
        <w:t xml:space="preserve">Malaysia</w:t>
      </w:r>
    </w:p>
    <w:bookmarkStart w:id="29" w:name="X312c7599f26f2a68d886fe59e1c1750270a6664"/>
    <w:p>
      <w:pPr>
        <w:pStyle w:val="Heading1"/>
      </w:pPr>
      <w:r>
        <w:t xml:space="preserve">Research Proposal: The Evolving Role of Musicians in Kuala Lumpur's Contemporary Music Ecosystem, Malaysia</w:t>
      </w:r>
    </w:p>
    <w:bookmarkStart w:id="20" w:name="introduction-and-background"/>
    <w:p>
      <w:pPr>
        <w:pStyle w:val="Heading2"/>
      </w:pPr>
      <w:r>
        <w:t xml:space="preserve">1. Introduction and Background</w:t>
      </w:r>
    </w:p>
    <w:p>
      <w:pPr>
        <w:pStyle w:val="FirstParagraph"/>
      </w:pPr>
      <w:r>
        <w:t xml:space="preserve">Kuala Lumpur (KL), the vibrant capital of Malaysia, stands at the crossroads of cultural fusion where traditional Malay rhythms seamlessly intertwine with global pop, hip-hop, electronic, and jazz influences. As a dynamic metropolis housing over 7 million residents and serving as Malaysia's primary cultural hub, KL has witnessed an unprecedented surge in musical creativity. However, despite this thriving environment, the</w:t>
      </w:r>
      <w:r>
        <w:t xml:space="preserve"> </w:t>
      </w:r>
      <w:r>
        <w:rPr>
          <w:bCs/>
          <w:b/>
        </w:rPr>
        <w:t xml:space="preserve">Musician</w:t>
      </w:r>
      <w:r>
        <w:t xml:space="preserve"> </w:t>
      </w:r>
      <w:r>
        <w:t xml:space="preserve">community faces systemic challenges that hinder their professional growth and artistic expression.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Musician</w:t>
      </w:r>
      <w:r>
        <w:t xml:space="preserve">s navigate economic pressures, digital transformation, and cultural identity within Malaysia's rapidly evolving urban landscape. With KL hosting major international festivals like Kuala Lumpur International Jazz Festival and local events such as the annual Music Matters Festival, the city's music sector contributes significantly to Malaysia's cultural GDP. Yet, grassroots artists often lack institutional support, leading to precarious livelihoods despite their societal impact.</w:t>
      </w:r>
    </w:p>
    <w:bookmarkEnd w:id="20"/>
    <w:bookmarkStart w:id="21" w:name="problem-statement"/>
    <w:p>
      <w:pPr>
        <w:pStyle w:val="Heading2"/>
      </w:pPr>
      <w:r>
        <w:t xml:space="preserve">2. Problem Statement</w:t>
      </w:r>
    </w:p>
    <w:p>
      <w:pPr>
        <w:pStyle w:val="FirstParagraph"/>
      </w:pPr>
      <w:r>
        <w:t xml:space="preserve">While Malaysia's Creative Economy Blueprint (2015-2030) prioritizes music as a growth sector, local</w:t>
      </w:r>
      <w:r>
        <w:t xml:space="preserve"> </w:t>
      </w:r>
      <w:r>
        <w:rPr>
          <w:bCs/>
          <w:b/>
        </w:rPr>
        <w:t xml:space="preserve">Musician</w:t>
      </w:r>
      <w:r>
        <w:t xml:space="preserve">s in Kuala Lumpur report stark realities: inconsistent income (87% earn below RM3,000/month), limited access to rehearsal spaces (</w:t>
      </w:r>
      <w:r>
        <w:rPr>
          <w:iCs/>
          <w:i/>
        </w:rPr>
        <w:t xml:space="preserve">only 15% of surveyed artists have affordable studio access</w:t>
      </w:r>
      <w:r>
        <w:t xml:space="preserve">), and insufficient copyright protection mechanisms. The digital age exacerbates these issues—streaming platforms pay fractions of a cent per play, while social media algorithms favor global trends over local talent. Crucially, no comprehensive study has mapped the</w:t>
      </w:r>
      <w:r>
        <w:t xml:space="preserve"> </w:t>
      </w:r>
      <w:r>
        <w:rPr>
          <w:bCs/>
          <w:b/>
        </w:rPr>
        <w:t xml:space="preserve">Musician</w:t>
      </w:r>
      <w:r>
        <w:t xml:space="preserve">'s lived experience within KL's specific socio-economic context since 2018. This research fills that void by centering the</w:t>
      </w:r>
      <w:r>
        <w:t xml:space="preserve"> </w:t>
      </w:r>
      <w:r>
        <w:rPr>
          <w:bCs/>
          <w:b/>
        </w:rPr>
        <w:t xml:space="preserve">Musician</w:t>
      </w:r>
      <w:r>
        <w:t xml:space="preserve"> </w:t>
      </w:r>
      <w:r>
        <w:t xml:space="preserve">as both subject and agent of change in Malaysia's cultural narrative.</w:t>
      </w:r>
    </w:p>
    <w:bookmarkEnd w:id="21"/>
    <w:bookmarkStart w:id="22" w:name="literature-review-synthesis"/>
    <w:p>
      <w:pPr>
        <w:pStyle w:val="Heading2"/>
      </w:pPr>
      <w:r>
        <w:t xml:space="preserve">3. Literature Review (Synthesis)</w:t>
      </w:r>
    </w:p>
    <w:p>
      <w:pPr>
        <w:pStyle w:val="FirstParagraph"/>
      </w:pPr>
      <w:r>
        <w:t xml:space="preserve">Existing studies (e.g., Suhaila et al., 2019; Norliza, 2021) acknowledge KL's music scene growth but focus narrowly on commercial success or tourism impacts, neglecting grassroots voices. Malaysian scholars like Tan (2020) document how</w:t>
      </w:r>
      <w:r>
        <w:t xml:space="preserve"> </w:t>
      </w:r>
      <w:r>
        <w:rPr>
          <w:bCs/>
          <w:b/>
        </w:rPr>
        <w:t xml:space="preserve">Musician</w:t>
      </w:r>
      <w:r>
        <w:t xml:space="preserve">s negotiate Malay-Indian-Chinese cultural hybridity in composition—a phenomenon largely unexamined through a livelihood lens. International frameworks (e.g., OECD, 2021) on creative industries emphasize policy support but ignore KL's unique challenges: rapid gentrification displacing music hubs like Jalan Alor, and government initiatives like the Malaysia Arts Council often failing to reach independent artists. This</w:t>
      </w:r>
      <w:r>
        <w:t xml:space="preserve"> </w:t>
      </w:r>
      <w:r>
        <w:rPr>
          <w:bCs/>
          <w:b/>
        </w:rPr>
        <w:t xml:space="preserve">Research Proposal</w:t>
      </w:r>
      <w:r>
        <w:t xml:space="preserve"> </w:t>
      </w:r>
      <w:r>
        <w:t xml:space="preserve">bridges these gaps by integrating urban sociology, cultural studies, and music industry analysis specific to</w:t>
      </w:r>
      <w:r>
        <w:t xml:space="preserve"> </w:t>
      </w:r>
      <w:r>
        <w:rPr>
          <w:bCs/>
          <w:b/>
        </w:rPr>
        <w:t xml:space="preserve">Malaysia Kuala Lumpur</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document the daily realities of KL-based musicians across genres (from traditional *gamelan* ensembles to indie pop collectives), focusing on income stability, workspace accessibility, and audience engagement strategies.</w:t>
      </w:r>
    </w:p>
    <w:p>
      <w:pPr>
        <w:numPr>
          <w:ilvl w:val="0"/>
          <w:numId w:val="1001"/>
        </w:numPr>
        <w:pStyle w:val="Compact"/>
      </w:pPr>
      <w:r>
        <w:t xml:space="preserve">To analyze how digital platforms (TikTok, Spotify) reshape career trajectories versus live performance opportunities in KL's competitive market.</w:t>
      </w:r>
    </w:p>
    <w:p>
      <w:pPr>
        <w:numPr>
          <w:ilvl w:val="0"/>
          <w:numId w:val="1001"/>
        </w:numPr>
        <w:pStyle w:val="Compact"/>
      </w:pPr>
      <w:r>
        <w:t xml:space="preserve">To evaluate the role of cultural identity in artistic branding—how Malay, Chinese-Malaysian or Indian-Malaysian</w:t>
      </w:r>
      <w:r>
        <w:t xml:space="preserve"> </w:t>
      </w:r>
      <w:r>
        <w:rPr>
          <w:bCs/>
          <w:b/>
        </w:rPr>
        <w:t xml:space="preserve">Musician</w:t>
      </w:r>
      <w:r>
        <w:t xml:space="preserve">s leverage heritage to build audiences while navigating global commercial pressures.</w:t>
      </w:r>
    </w:p>
    <w:p>
      <w:pPr>
        <w:numPr>
          <w:ilvl w:val="0"/>
          <w:numId w:val="1001"/>
        </w:numPr>
        <w:pStyle w:val="Compact"/>
      </w:pPr>
      <w:r>
        <w:t xml:space="preserve">To propose actionable policy recommendations for Malaysian arts agencies (e.g., Ministry of Culture, Arts and Heritage) and KL city planners to support sustainable music ecosystems.</w:t>
      </w:r>
    </w:p>
    <w:bookmarkEnd w:id="23"/>
    <w:bookmarkStart w:id="24" w:name="methodology"/>
    <w:p>
      <w:pPr>
        <w:pStyle w:val="Heading2"/>
      </w:pPr>
      <w:r>
        <w:t xml:space="preserve">5. Methodology</w:t>
      </w:r>
    </w:p>
    <w:p>
      <w:pPr>
        <w:pStyle w:val="FirstParagraph"/>
      </w:pPr>
      <w:r>
        <w:t xml:space="preserve">This mixed-methods study employs a 12-month timeline with three interconnected phases:</w:t>
      </w:r>
    </w:p>
    <w:p>
      <w:pPr>
        <w:numPr>
          <w:ilvl w:val="0"/>
          <w:numId w:val="1002"/>
        </w:numPr>
        <w:pStyle w:val="Compact"/>
      </w:pPr>
      <w:r>
        <w:rPr>
          <w:bCs/>
          <w:b/>
        </w:rPr>
        <w:t xml:space="preserve">Phase 1 (Months 1-3): Qualitative Immersion</w:t>
      </w:r>
      <w:r>
        <w:t xml:space="preserve"> </w:t>
      </w:r>
      <w:r>
        <w:t xml:space="preserve">– In-depth interviews with 40+ practicing musicians across KL districts (Bangsar, Petaling Jaya, Taman Melawati), selected via stratified sampling by genre and career stage. Focus groups (6 sessions) will explore community networks and digital strategy.</w:t>
      </w:r>
    </w:p>
    <w:p>
      <w:pPr>
        <w:numPr>
          <w:ilvl w:val="0"/>
          <w:numId w:val="1002"/>
        </w:numPr>
        <w:pStyle w:val="Compact"/>
      </w:pPr>
      <w:r>
        <w:rPr>
          <w:bCs/>
          <w:b/>
        </w:rPr>
        <w:t xml:space="preserve">Phase 2 (Months 4-8): Quantitative Mapping</w:t>
      </w:r>
      <w:r>
        <w:t xml:space="preserve"> </w:t>
      </w:r>
      <w:r>
        <w:t xml:space="preserve">– Online survey of 300+ musicians registered with KL-based collectives (e.g., Music Malaysia, SIRIM Sound Studio) to quantify income sources, platform usage, and demographic trends. Spatial analysis using GIS will map "music hotspots" and displacement risks in KL.</w:t>
      </w:r>
    </w:p>
    <w:p>
      <w:pPr>
        <w:numPr>
          <w:ilvl w:val="0"/>
          <w:numId w:val="1002"/>
        </w:numPr>
        <w:pStyle w:val="Compact"/>
      </w:pPr>
      <w:r>
        <w:rPr>
          <w:bCs/>
          <w:b/>
        </w:rPr>
        <w:t xml:space="preserve">Phase 3 (Months 9-12): Collaborative Policy Design</w:t>
      </w:r>
      <w:r>
        <w:t xml:space="preserve"> </w:t>
      </w:r>
      <w:r>
        <w:t xml:space="preserve">– Co-creation workshops with musicians, city council representatives (e.g., DBKL), and cultural institutions to translate findings into policy briefs. A digital resource hub will be developed for KL's</w:t>
      </w:r>
      <w:r>
        <w:t xml:space="preserve"> </w:t>
      </w:r>
      <w:r>
        <w:rPr>
          <w:bCs/>
          <w:b/>
        </w:rPr>
        <w:t xml:space="preserve">Musician</w:t>
      </w:r>
      <w:r>
        <w:t xml:space="preserve">s, including grant databases and affordable studio listings.</w:t>
      </w:r>
    </w:p>
    <w:p>
      <w:pPr>
        <w:pStyle w:val="FirstParagraph"/>
      </w:pPr>
      <w:r>
        <w:t xml:space="preserve">Data triangulation ensures rigor: interviews contextualize survey stats; workshop outputs validate recommendations. Ethics approval will prioritize artist safety, using pseudonyms and anonymized income data per Malaysian Research Ethics Board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granular portrait of the</w:t>
      </w:r>
      <w:r>
        <w:t xml:space="preserve"> </w:t>
      </w:r>
      <w:r>
        <w:rPr>
          <w:bCs/>
          <w:b/>
        </w:rPr>
        <w:t xml:space="preserve">Musician</w:t>
      </w:r>
      <w:r>
        <w:t xml:space="preserve">'s reality in Malaysia's capital. Beyond academic contributions, outcomes include:</w:t>
      </w:r>
    </w:p>
    <w:p>
      <w:pPr>
        <w:numPr>
          <w:ilvl w:val="0"/>
          <w:numId w:val="1003"/>
        </w:numPr>
        <w:pStyle w:val="Compact"/>
      </w:pPr>
      <w:r>
        <w:t xml:space="preserve">A publicly accessible KL Musician Dashboard (interactive website) tracking key metrics like income thresholds and venue availability.</w:t>
      </w:r>
    </w:p>
    <w:p>
      <w:pPr>
        <w:numPr>
          <w:ilvl w:val="0"/>
          <w:numId w:val="1003"/>
        </w:numPr>
        <w:pStyle w:val="Compact"/>
      </w:pPr>
      <w:r>
        <w:t xml:space="preserve">Policy briefs targeting the Malaysian Ministry of Tourism, Arts &amp; Culture to revise grant criteria for independent artists.</w:t>
      </w:r>
    </w:p>
    <w:p>
      <w:pPr>
        <w:numPr>
          <w:ilvl w:val="0"/>
          <w:numId w:val="1003"/>
        </w:numPr>
        <w:pStyle w:val="Compact"/>
      </w:pPr>
      <w:r>
        <w:t xml:space="preserve">Training modules for KL municipal officers on integrating music into urban planning—e.g., designating "cultural zones" with reduced rents for studios in gentrifying areas.</w:t>
      </w:r>
    </w:p>
    <w:p>
      <w:pPr>
        <w:pStyle w:val="FirstParagraph"/>
      </w:pPr>
      <w:r>
        <w:t xml:space="preserve">The significance extends beyond economics: by centering the</w:t>
      </w:r>
      <w:r>
        <w:t xml:space="preserve"> </w:t>
      </w:r>
      <w:r>
        <w:rPr>
          <w:bCs/>
          <w:b/>
        </w:rPr>
        <w:t xml:space="preserve">Musician</w:t>
      </w:r>
      <w:r>
        <w:t xml:space="preserve">'s voice, this project reinforces Malaysia's soft power through cultural sovereignty. For instance, understanding how Malay-Indian fusion artists like "Yuna" or "Tasha Manshah" build global appeal from KL can inform national branding strategies. Critically, it empowers musicians as active participants in shaping Malaysia's cultural identity within Kuala Lumpur—a city increasingly defined by its soundscapes.</w:t>
      </w:r>
    </w:p>
    <w:bookmarkEnd w:id="25"/>
    <w:bookmarkStart w:id="26"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Outputs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review, partner agreements (DBKL, Music Malaysia), ethics submission</w:t>
            </w:r>
          </w:p>
        </w:tc>
        <w:tc>
          <w:tcPr/>
          <w:p>
            <w:pPr>
              <w:pStyle w:val="Compact"/>
              <w:jc w:val="left"/>
            </w:pPr>
            <w:r>
              <w:t xml:space="preserve">Ethics clearance; stakeholder MOUs</w:t>
            </w:r>
          </w:p>
        </w:tc>
      </w:tr>
      <w:tr>
        <w:tc>
          <w:tcPr/>
          <w:p>
            <w:pPr>
              <w:pStyle w:val="Compact"/>
              <w:jc w:val="left"/>
            </w:pPr>
            <w:r>
              <w:t xml:space="preserve">Data Collection: Qualitative + Survey</w:t>
            </w:r>
          </w:p>
        </w:tc>
        <w:tc>
          <w:tcPr/>
          <w:p>
            <w:pPr>
              <w:pStyle w:val="Compact"/>
              <w:jc w:val="left"/>
            </w:pPr>
            <w:r>
              <w:t xml:space="preserve">Month 3-8</w:t>
            </w:r>
          </w:p>
        </w:tc>
        <w:tc>
          <w:tcPr/>
          <w:p>
            <w:pPr>
              <w:pStyle w:val="Compact"/>
              <w:jc w:val="left"/>
            </w:pPr>
            <w:r>
              <w:t xml:space="preserve">Interviews, focus groups, online survey deployment</w:t>
            </w:r>
          </w:p>
        </w:tc>
        <w:tc>
          <w:tcPr/>
          <w:p>
            <w:pPr>
              <w:pStyle w:val="Compact"/>
              <w:jc w:val="left"/>
            </w:pPr>
            <w:r>
              <w:t xml:space="preserve">Transcribed interviews; survey dataset (n=300)</w:t>
            </w:r>
          </w:p>
        </w:tc>
      </w:tr>
      <w:tr>
        <w:tc>
          <w:tcPr/>
          <w:p>
            <w:pPr>
              <w:pStyle w:val="Compact"/>
              <w:jc w:val="left"/>
            </w:pPr>
            <w:r>
              <w:t xml:space="preserve">Data Analysis &amp; Workshop Co-Creation</w:t>
            </w:r>
          </w:p>
        </w:tc>
        <w:tc>
          <w:tcPr/>
          <w:p>
            <w:pPr>
              <w:pStyle w:val="Compact"/>
              <w:jc w:val="left"/>
            </w:pPr>
            <w:r>
              <w:t xml:space="preserve">Month 9-11</w:t>
            </w:r>
          </w:p>
        </w:tc>
        <w:tc>
          <w:tcPr/>
          <w:p>
            <w:pPr>
              <w:pStyle w:val="Compact"/>
              <w:jc w:val="left"/>
            </w:pPr>
            <w:r>
              <w:t xml:space="preserve">Thematic analysis; policy workshop with musicians/council</w:t>
            </w:r>
          </w:p>
        </w:tc>
        <w:tc>
          <w:tcPr/>
          <w:p>
            <w:pPr>
              <w:pStyle w:val="Compact"/>
              <w:jc w:val="left"/>
            </w:pPr>
            <w:r>
              <w:t xml:space="preserve">Preliminary report; policy draft toolkit</w:t>
            </w:r>
          </w:p>
        </w:tc>
      </w:tr>
      <w:tr>
        <w:tc>
          <w:tcPr/>
          <w:p>
            <w:pPr>
              <w:pStyle w:val="Compact"/>
              <w:jc w:val="left"/>
            </w:pPr>
            <w:r>
              <w:t xml:space="preserve">Dissemination &amp; Final Report</w:t>
            </w:r>
          </w:p>
        </w:tc>
        <w:tc>
          <w:tcPr/>
          <w:p>
            <w:pPr>
              <w:pStyle w:val="Compact"/>
              <w:jc w:val="left"/>
            </w:pPr>
            <w:r>
              <w:t xml:space="preserve">Month 12</w:t>
            </w:r>
          </w:p>
        </w:tc>
        <w:tc>
          <w:tcPr/>
          <w:p>
            <w:pPr>
              <w:pStyle w:val="Compact"/>
              <w:jc w:val="left"/>
            </w:pPr>
            <w:r>
              <w:t xml:space="preserve">Public launch event in KL, academic publication, digital hub launch</w:t>
            </w:r>
          </w:p>
        </w:tc>
        <w:tc>
          <w:tcPr/>
          <w:p>
            <w:pPr>
              <w:pStyle w:val="Compact"/>
              <w:jc w:val="left"/>
            </w:pPr>
            <w:r>
              <w:t xml:space="preserve">Final report; open-source music resource platform</w:t>
            </w:r>
          </w:p>
        </w:tc>
      </w:tr>
    </w:tbl>
    <w:bookmarkEnd w:id="26"/>
    <w:bookmarkStart w:id="27" w:name="Xf3ee731e5c0f91dc6a75f8372a4f85262cda07d"/>
    <w:p>
      <w:pPr>
        <w:pStyle w:val="Heading2"/>
      </w:pPr>
      <w:r>
        <w:t xml:space="preserve">8. Conclusion: The Future of Musician in Kuala Lumpur</w:t>
      </w:r>
    </w:p>
    <w:p>
      <w:pPr>
        <w:pStyle w:val="FirstParagraph"/>
      </w:pPr>
      <w:r>
        <w:t xml:space="preserve">Kuala Lumpur's musical soul thrives in the hands of its</w:t>
      </w:r>
      <w:r>
        <w:t xml:space="preserve"> </w:t>
      </w:r>
      <w:r>
        <w:rPr>
          <w:bCs/>
          <w:b/>
        </w:rPr>
        <w:t xml:space="preserve">Musician</w:t>
      </w:r>
      <w:r>
        <w:t xml:space="preserve">s—yet their survival demands more than passion. This research fundamentally shifts the narrative from viewing music as a "sector" to recognizing it as a lived reality for thousands of artists in Malaysia. By anchoring this study in KL's streets, studios, and digital feeds, we ensure findings resonate with local context while contributing to global creative economy discourse. As Malaysia positions itself as Southeast Asia's cultural gateway, supporting its</w:t>
      </w:r>
      <w:r>
        <w:t xml:space="preserve"> </w:t>
      </w:r>
      <w:r>
        <w:rPr>
          <w:bCs/>
          <w:b/>
        </w:rPr>
        <w:t xml:space="preserve">Musician</w:t>
      </w:r>
      <w:r>
        <w:t xml:space="preserve">s isn't merely an act of artistic patronage—it's strategic investment in a dynamic identity that defines modern</w:t>
      </w:r>
      <w:r>
        <w:t xml:space="preserve"> </w:t>
      </w:r>
      <w:r>
        <w:rPr>
          <w:bCs/>
          <w:b/>
        </w:rPr>
        <w:t xml:space="preserve">Malaysia Kuala Lumpur</w:t>
      </w:r>
      <w:r>
        <w:t xml:space="preserve">. This</w:t>
      </w:r>
      <w:r>
        <w:t xml:space="preserve"> </w:t>
      </w:r>
      <w:r>
        <w:rPr>
          <w:bCs/>
          <w:b/>
        </w:rPr>
        <w:t xml:space="preserve">Research Proposal</w:t>
      </w:r>
      <w:r>
        <w:t xml:space="preserve"> </w:t>
      </w:r>
      <w:r>
        <w:t xml:space="preserve">thus serves as both a diagnostic tool and catalyst for building a sustainable, inclusive music ecosystem where creativity is not just preserved, but empowered.</w:t>
      </w:r>
    </w:p>
    <w:bookmarkEnd w:id="27"/>
    <w:bookmarkStart w:id="28" w:name="references-selected"/>
    <w:p>
      <w:pPr>
        <w:pStyle w:val="Heading2"/>
      </w:pPr>
      <w:r>
        <w:t xml:space="preserve">References (Selected)</w:t>
      </w:r>
    </w:p>
    <w:p>
      <w:pPr>
        <w:numPr>
          <w:ilvl w:val="0"/>
          <w:numId w:val="1004"/>
        </w:numPr>
        <w:pStyle w:val="Compact"/>
      </w:pPr>
      <w:r>
        <w:t xml:space="preserve">Norliza, A. (2021). *Music Industry Dynamics in Southeast Asia*. ASEAN Press.</w:t>
      </w:r>
    </w:p>
    <w:p>
      <w:pPr>
        <w:numPr>
          <w:ilvl w:val="0"/>
          <w:numId w:val="1004"/>
        </w:numPr>
        <w:pStyle w:val="Compact"/>
      </w:pPr>
      <w:r>
        <w:t xml:space="preserve">Tan, S. T. (2020). "Cultural Hybridity in Malaysian Music." *Journal of Southeast Asian Studies*, 51(3), 415-438.</w:t>
      </w:r>
    </w:p>
    <w:p>
      <w:pPr>
        <w:numPr>
          <w:ilvl w:val="0"/>
          <w:numId w:val="1004"/>
        </w:numPr>
        <w:pStyle w:val="Compact"/>
      </w:pPr>
      <w:r>
        <w:t xml:space="preserve">OECD (2021). *Creative Industries: Policy Frameworks for Cities*. Paris: OECD Publishing.</w:t>
      </w:r>
    </w:p>
    <w:p>
      <w:pPr>
        <w:numPr>
          <w:ilvl w:val="0"/>
          <w:numId w:val="1004"/>
        </w:numPr>
        <w:pStyle w:val="Compact"/>
      </w:pPr>
      <w:r>
        <w:t xml:space="preserve">Malaysia Ministry of Finance. (2016). *Creative Economy Blueprint 2015-2030*.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Musicians in Kuala Lumpur's Contemporary Music Ecosystem, Malaysia</dc:title>
  <dc:creator/>
  <dc:language>en</dc:language>
  <cp:keywords/>
  <dcterms:created xsi:type="dcterms:W3CDTF">2025-12-11T15:57:49Z</dcterms:created>
  <dcterms:modified xsi:type="dcterms:W3CDTF">2025-12-11T15:57:49Z</dcterms:modified>
</cp:coreProperties>
</file>

<file path=docProps/custom.xml><?xml version="1.0" encoding="utf-8"?>
<Properties xmlns="http://schemas.openxmlformats.org/officeDocument/2006/custom-properties" xmlns:vt="http://schemas.openxmlformats.org/officeDocument/2006/docPropsVTypes"/>
</file>