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9" w:name="X010f3598202a3d1690080014dca6f17dd904aaa"/>
    <w:p>
      <w:pPr>
        <w:pStyle w:val="Heading1"/>
      </w:pPr>
      <w:r>
        <w:t xml:space="preserve">Research Proposal: The Role and Sustainability of Contemporary Musicians in Birmingham, United Kingdom</w:t>
      </w:r>
    </w:p>
    <w:bookmarkStart w:id="20" w:name="introduction-and-background"/>
    <w:p>
      <w:pPr>
        <w:pStyle w:val="Heading2"/>
      </w:pPr>
      <w:r>
        <w:t xml:space="preserve">1. Introduction and Background</w:t>
      </w:r>
    </w:p>
    <w:p>
      <w:pPr>
        <w:pStyle w:val="FirstParagraph"/>
      </w:pPr>
      <w:r>
        <w:t xml:space="preserve">In the vibrant cultural landscape of the United Kingdom, Birmingham stands as a dynamic hub for musical innovation and community engagement. As England's second-largest city and a UNESCO City of Music (awarded in 2007), Birmingham boasts an exceptionally diverse music scene that spans traditional brass bands, contemporary electronic production, hip-hop, jazz fusion, and community-led initiatives. However, despite its cultural significance, the livelihoods of local musicians face unprecedented challenges due to austerity measures, shifting industry models, and post-pandemic economic pressures. This research proposal addresses a critical gap in understanding how</w:t>
      </w:r>
      <w:r>
        <w:t xml:space="preserve"> </w:t>
      </w:r>
      <w:r>
        <w:rPr>
          <w:bCs/>
          <w:b/>
        </w:rPr>
        <w:t xml:space="preserve">musicians</w:t>
      </w:r>
      <w:r>
        <w:t xml:space="preserve"> </w:t>
      </w:r>
      <w:r>
        <w:t xml:space="preserve">in</w:t>
      </w:r>
      <w:r>
        <w:t xml:space="preserve"> </w:t>
      </w:r>
      <w:r>
        <w:rPr>
          <w:bCs/>
          <w:b/>
        </w:rPr>
        <w:t xml:space="preserve">Birmingham</w:t>
      </w:r>
      <w:r>
        <w:t xml:space="preserve">,</w:t>
      </w:r>
      <w:r>
        <w:t xml:space="preserve"> </w:t>
      </w:r>
      <w:r>
        <w:rPr>
          <w:bCs/>
          <w:b/>
        </w:rPr>
        <w:t xml:space="preserve">United Kingdom</w:t>
      </w:r>
      <w:r>
        <w:t xml:space="preserve">, navigate sustainability within a rapidly evolving creative economy. With Birmingham hosting 36% of the UK's music sector jobs outside London (Creative Industries Council, 2022), this study is not merely academic—it is essential for shaping inclusive cultural policy in one of Europe's most multicultural cities.</w:t>
      </w:r>
    </w:p>
    <w:bookmarkEnd w:id="20"/>
    <w:bookmarkStart w:id="21" w:name="problem-statement"/>
    <w:p>
      <w:pPr>
        <w:pStyle w:val="Heading2"/>
      </w:pPr>
      <w:r>
        <w:t xml:space="preserve">2. Problem Statement</w:t>
      </w:r>
    </w:p>
    <w:p>
      <w:pPr>
        <w:pStyle w:val="FirstParagraph"/>
      </w:pPr>
      <w:r>
        <w:t xml:space="preserve">While Birmingham’s cultural infrastructure (including the Birmingham Symphony Hall, Town Hall, and independent venues like The Hare &amp; Hounds) provides a robust foundation, musicians—particularly emerging and minority-ethnic artists—struggle with precarious income (averaging £18,200 annually vs. £25,600 for UK workers), limited access to rehearsal spaces due to gentrification (e.g., redevelopment in Digbeth), and inadequate support for mental health in an industry known for high burnout rates. Current UK government strategies like the Creative Industries Sector Vision (2021) overlook hyper-local barriers facing</w:t>
      </w:r>
      <w:r>
        <w:t xml:space="preserve"> </w:t>
      </w:r>
      <w:r>
        <w:rPr>
          <w:bCs/>
          <w:b/>
        </w:rPr>
        <w:t xml:space="preserve">Birmingham</w:t>
      </w:r>
      <w:r>
        <w:t xml:space="preserve"> </w:t>
      </w:r>
      <w:r>
        <w:t xml:space="preserve">musicians, treating them as a monolith rather than acknowledging their diverse identities—such as Black British, South Asian, or Gypsy Roma Traveller artists who represent 56% of Birmingham’s music practitioners (Birmingham City Council Arts Report, 2023). This research directly tackles this oversight.</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UK musicians predominantly focuses on London-centric models (e.g., Dibb et al., 2018) or macro-economic analyses (UK Music, 2023), neglecting regional nuances. Birmingham-specific studies are scarce; the last major investigation was the 2014 "Birmingham Music Economy" report, now outdated. Crucially, no research has examined how</w:t>
      </w:r>
      <w:r>
        <w:t xml:space="preserve"> </w:t>
      </w:r>
      <w:r>
        <w:rPr>
          <w:bCs/>
          <w:b/>
        </w:rPr>
        <w:t xml:space="preserve">Birmingham</w:t>
      </w:r>
      <w:r>
        <w:t xml:space="preserve">'s unique demographic mosaic—where 45% of residents are from minority ethnic backgrounds—shapes musical identity and economic resilience. This gap is significant because Birmingham’s music scene thrives on cross-cultural fusion (e.g., the Brixton-based Afrobeat collective or the "Bham Sound" electronic movement), yet these innovations remain under-theorized in policy discourse. Our study bridges this by centering</w:t>
      </w:r>
      <w:r>
        <w:t xml:space="preserve"> </w:t>
      </w:r>
      <w:r>
        <w:rPr>
          <w:bCs/>
          <w:b/>
        </w:rPr>
        <w:t xml:space="preserve">musician</w:t>
      </w:r>
      <w:r>
        <w:t xml:space="preserve"> </w:t>
      </w:r>
      <w:r>
        <w:t xml:space="preserve">experiences within Birmingham’s socio-spatial context.</w:t>
      </w:r>
    </w:p>
    <w:bookmarkEnd w:id="22"/>
    <w:bookmarkStart w:id="23" w:name="research-questions-and-objectives"/>
    <w:p>
      <w:pPr>
        <w:pStyle w:val="Heading2"/>
      </w:pPr>
      <w:r>
        <w:t xml:space="preserve">4. Research Questions and Objectives</w:t>
      </w:r>
    </w:p>
    <w:p>
      <w:pPr>
        <w:numPr>
          <w:ilvl w:val="0"/>
          <w:numId w:val="1001"/>
        </w:numPr>
        <w:pStyle w:val="Compact"/>
      </w:pPr>
      <w:r>
        <w:rPr>
          <w:bCs/>
          <w:b/>
        </w:rPr>
        <w:t xml:space="preserve">RQ1:</w:t>
      </w:r>
      <w:r>
        <w:t xml:space="preserve"> </w:t>
      </w:r>
      <w:r>
        <w:t xml:space="preserve">How do Birmingham-based musicians negotiate economic stability, cultural identity, and community impact amid urban transformation?</w:t>
      </w:r>
    </w:p>
    <w:p>
      <w:pPr>
        <w:numPr>
          <w:ilvl w:val="0"/>
          <w:numId w:val="1001"/>
        </w:numPr>
        <w:pStyle w:val="Compact"/>
      </w:pPr>
      <w:r>
        <w:rPr>
          <w:bCs/>
          <w:b/>
        </w:rPr>
        <w:t xml:space="preserve">RQ2:</w:t>
      </w:r>
      <w:r>
        <w:t xml:space="preserve"> </w:t>
      </w:r>
      <w:r>
        <w:t xml:space="preserve">What structural barriers (funding, venue access, policy) disproportionately affect underrepresented musicians in Birmingham compared to national averages?</w:t>
      </w:r>
    </w:p>
    <w:p>
      <w:pPr>
        <w:numPr>
          <w:ilvl w:val="0"/>
          <w:numId w:val="1001"/>
        </w:numPr>
        <w:pStyle w:val="Compact"/>
      </w:pPr>
      <w:r>
        <w:rPr>
          <w:bCs/>
          <w:b/>
        </w:rPr>
        <w:t xml:space="preserve">RQ3:</w:t>
      </w:r>
      <w:r>
        <w:t xml:space="preserve"> </w:t>
      </w:r>
      <w:r>
        <w:t xml:space="preserve">How can</w:t>
      </w:r>
      <w:r>
        <w:t xml:space="preserve"> </w:t>
      </w:r>
      <w:r>
        <w:rPr>
          <w:bCs/>
          <w:b/>
        </w:rPr>
        <w:t xml:space="preserve">United Kingdom</w:t>
      </w:r>
      <w:r>
        <w:t xml:space="preserve">-level cultural policies be adapted to support Birmingham’s specific music ecosystem for long-term sustainability?</w:t>
      </w:r>
    </w:p>
    <w:p>
      <w:pPr>
        <w:pStyle w:val="FirstParagraph"/>
      </w:pPr>
      <w:r>
        <w:rPr>
          <w:bCs/>
          <w:b/>
        </w:rPr>
        <w:t xml:space="preserve">Objectives:</w:t>
      </w:r>
    </w:p>
    <w:p>
      <w:pPr>
        <w:numPr>
          <w:ilvl w:val="0"/>
          <w:numId w:val="1002"/>
        </w:numPr>
        <w:pStyle w:val="Compact"/>
      </w:pPr>
      <w:r>
        <w:t xml:space="preserve">Map the economic and social geography of Birmingham musicians across 10 key neighbourhoods (e.g., Sparkbrook, Ladywood, Small Heath).</w:t>
      </w:r>
    </w:p>
    <w:p>
      <w:pPr>
        <w:numPr>
          <w:ilvl w:val="0"/>
          <w:numId w:val="1002"/>
        </w:numPr>
        <w:pStyle w:val="Compact"/>
      </w:pPr>
      <w:r>
        <w:t xml:space="preserve">Analyse intersectional challenges faced by 30+ artists from underrepresented groups through participatory workshops.</w:t>
      </w:r>
    </w:p>
    <w:p>
      <w:pPr>
        <w:numPr>
          <w:ilvl w:val="0"/>
          <w:numId w:val="1002"/>
        </w:numPr>
        <w:pStyle w:val="Compact"/>
      </w:pPr>
      <w:r>
        <w:t xml:space="preserve">Co-create a policy toolkit with the Birmingham Music Commission and local venues for city-wide implementation.</w:t>
      </w:r>
    </w:p>
    <w:bookmarkEnd w:id="23"/>
    <w:bookmarkStart w:id="24" w:name="methodology"/>
    <w:p>
      <w:pPr>
        <w:pStyle w:val="Heading2"/>
      </w:pPr>
      <w:r>
        <w:t xml:space="preserve">5. Methodology</w:t>
      </w:r>
    </w:p>
    <w:p>
      <w:pPr>
        <w:pStyle w:val="FirstParagraph"/>
      </w:pPr>
      <w:r>
        <w:t xml:space="preserve">This mixed-methods study employs community-based participatory research (CBPR) to ensure ethical, inclusive data collection. Phase 1 involves quantitative surveys of 200+ active Birmingham musicians via the Birmingham Music Network (BMN), assessing income streams, venue access, and mental health. Phase 2 deploys qualitative focus groups with targeted subgroups (e.g., women-identifying musicians, disabled artists) to explore lived experiences. Crucially, Phase 3 uses participatory mapping: artists will co-design digital maps of "musical landscapes" highlighting spaces they use or avoid due to rising rents or discrimination. All data will be triangulated with interviews from venue managers (e.g., YES! Theatre), arts officers (Birmingham City Council), and UK Music representatives. Ethics approval is secured via the University of Birmingham’s Research Ethics Committee, prioritizing artist consent and data anonymization.</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publicly accessible digital repository of Birmingham’s musical infrastructure—showing how spaces like the Eastside Projects or Moseley Folk Club sustain community cohesion amid gentrification. Second, evidence-based policy recommendations for the Department for Culture, Media and Sport (DCMS) and Birmingham City Council to revise funding models (e.g., redirecting Arts Council England grants toward neighbourhood-level micro-funds). Third, a framework for "Musician Wellbeing Hubs" modelled on Birmingham’s existing Community Music Network, integrating mental health support with career development. The significance extends beyond academia: By centering</w:t>
      </w:r>
      <w:r>
        <w:t xml:space="preserve"> </w:t>
      </w:r>
      <w:r>
        <w:rPr>
          <w:bCs/>
          <w:b/>
        </w:rPr>
        <w:t xml:space="preserve">musician</w:t>
      </w:r>
      <w:r>
        <w:t xml:space="preserve"> </w:t>
      </w:r>
      <w:r>
        <w:t xml:space="preserve">voices in</w:t>
      </w:r>
      <w:r>
        <w:t xml:space="preserve"> </w:t>
      </w:r>
      <w:r>
        <w:rPr>
          <w:bCs/>
          <w:b/>
        </w:rPr>
        <w:t xml:space="preserve">Birmingham</w:t>
      </w:r>
      <w:r>
        <w:t xml:space="preserve">, this research directly informs the city’s 2035 Cultural Strategy and aligns with UK government priorities for levelling up cultural access. It also sets a replicable blueprint for other post-industrial cities in the</w:t>
      </w:r>
      <w:r>
        <w:t xml:space="preserve"> </w:t>
      </w:r>
      <w:r>
        <w:rPr>
          <w:bCs/>
          <w:b/>
        </w:rPr>
        <w:t xml:space="preserve">United Kingdom</w:t>
      </w:r>
      <w:r>
        <w:t xml:space="preserv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Data Collection</w:t>
            </w:r>
          </w:p>
        </w:tc>
        <w:tc>
          <w:tcPr/>
          <w:p>
            <w:pPr>
              <w:pStyle w:val="Compact"/>
              <w:jc w:val="left"/>
            </w:pPr>
            <w:r>
              <w:t xml:space="preserve">Survey design, partner coordination (BMN, Birmingham City Council)</w:t>
            </w:r>
          </w:p>
        </w:tc>
        <w:tc>
          <w:tcPr/>
          <w:p>
            <w:pPr>
              <w:pStyle w:val="Compact"/>
              <w:jc w:val="left"/>
            </w:pPr>
            <w:r>
              <w:t xml:space="preserve">Focus group facilitation, participatory mapping workshops</w:t>
            </w:r>
          </w:p>
        </w:tc>
        <w:tc>
          <w:tcPr/>
          <w:p>
            <w:pPr>
              <w:pStyle w:val="Compact"/>
              <w:jc w:val="left"/>
            </w:pPr>
            <w:r>
              <w:t xml:space="preserve">Quantitative data analysis</w:t>
            </w:r>
          </w:p>
        </w:tc>
      </w:tr>
      <w:tr>
        <w:tc>
          <w:tcPr/>
          <w:p>
            <w:pPr>
              <w:pStyle w:val="Compact"/>
              <w:jc w:val="left"/>
            </w:pPr>
            <w:r>
              <w:rPr>
                <w:bCs/>
                <w:b/>
              </w:rPr>
              <w:t xml:space="preserve">Analysis &amp; Engagement</w:t>
            </w:r>
          </w:p>
        </w:tc>
        <w:tc>
          <w:tcPr/>
          <w:p>
            <w:pPr>
              <w:pStyle w:val="Compact"/>
              <w:jc w:val="left"/>
            </w:pPr>
            <w:r>
              <w:t xml:space="preserve"> </w:t>
            </w:r>
          </w:p>
        </w:tc>
        <w:tc>
          <w:tcPr/>
          <w:p>
            <w:pPr>
              <w:pStyle w:val="Compact"/>
              <w:jc w:val="left"/>
            </w:pPr>
            <w:r>
              <w:t xml:space="preserve">Data triangulation, artist co-design sessions</w:t>
            </w:r>
          </w:p>
        </w:tc>
        <w:tc>
          <w:tcPr/>
          <w:p>
            <w:pPr>
              <w:pStyle w:val="Compact"/>
              <w:jc w:val="left"/>
            </w:pPr>
            <w:r>
              <w:t xml:space="preserve">Pilot policy toolkit development</w:t>
            </w:r>
          </w:p>
        </w:tc>
      </w:tr>
      <w:tr>
        <w:tc>
          <w:tcPr/>
          <w:p>
            <w:pPr>
              <w:pStyle w:val="Compact"/>
              <w:jc w:val="left"/>
            </w:pPr>
            <w:r>
              <w:t xml:space="preserve">Total Project Duration:</w:t>
            </w:r>
          </w:p>
        </w:tc>
        <w:tc>
          <w:tcPr/>
          <w:p>
            <w:pPr>
              <w:pStyle w:val="Compact"/>
              <w:jc w:val="left"/>
            </w:pPr>
            <w:r>
              <w:t xml:space="preserve">12 months</w:t>
            </w:r>
          </w:p>
        </w:tc>
        <w:tc>
          <w:tcPr/>
          <w:p>
            <w:pPr>
              <w:pStyle w:val="Compact"/>
            </w:pPr>
          </w:p>
        </w:tc>
        <w:tc>
          <w:tcPr/>
          <w:p>
            <w:pPr>
              <w:pStyle w:val="Compact"/>
            </w:pPr>
          </w:p>
        </w:tc>
      </w:tr>
    </w:tbl>
    <w:bookmarkEnd w:id="26"/>
    <w:bookmarkStart w:id="27" w:name="conclusion-why-birmingham-matters-now"/>
    <w:p>
      <w:pPr>
        <w:pStyle w:val="Heading2"/>
      </w:pPr>
      <w:r>
        <w:t xml:space="preserve">8. Conclusion: Why Birmingham Matters Now</w:t>
      </w:r>
    </w:p>
    <w:p>
      <w:pPr>
        <w:pStyle w:val="FirstParagraph"/>
      </w:pPr>
      <w:r>
        <w:t xml:space="preserve">Birmingham’s music scene is more than entertainment—it is the heartbeat of its social fabric, fostering intercultural dialogue in a city where 60% of school children speak English as an additional language. As the UK grapples with cultural recovery post-pandemic and economic inequality, this research ensures that</w:t>
      </w:r>
      <w:r>
        <w:t xml:space="preserve"> </w:t>
      </w:r>
      <w:r>
        <w:rPr>
          <w:bCs/>
          <w:b/>
        </w:rPr>
        <w:t xml:space="preserve">musicians</w:t>
      </w:r>
      <w:r>
        <w:t xml:space="preserve"> </w:t>
      </w:r>
      <w:r>
        <w:t xml:space="preserve">are not merely subjects of study but co-architects of solutions. By anchoring our investigation in Birmingham’s unique context—the city where Paul McCartney honed his craft, where Afrobeat pioneers like The O’Jays emerged, and where young artists today blend Punjabi bhangra with electronic beats—we offer a model for valuing creativity as a public good. This is not just about preserving Birmingham’s music legacy; it is about building an equitable</w:t>
      </w:r>
      <w:r>
        <w:t xml:space="preserve"> </w:t>
      </w:r>
      <w:r>
        <w:rPr>
          <w:bCs/>
          <w:b/>
        </w:rPr>
        <w:t xml:space="preserve">United Kingdom</w:t>
      </w:r>
      <w:r>
        <w:t xml:space="preserve"> </w:t>
      </w:r>
      <w:r>
        <w:t xml:space="preserve">cultural future where every musician thrives. We seek funding to turn these insights into action, proving that in Birmingham—and indeed across the UK—culture fuels progress.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Sustainability of Contemporary Musicians in Birmingham, United Kingdom</dc:title>
  <dc:creator/>
  <dc:language>en</dc:language>
  <cp:keywords/>
  <dcterms:created xsi:type="dcterms:W3CDTF">2026-07-23T19:20:09Z</dcterms:created>
  <dcterms:modified xsi:type="dcterms:W3CDTF">2026-07-23T19:20:09Z</dcterms:modified>
</cp:coreProperties>
</file>

<file path=docProps/custom.xml><?xml version="1.0" encoding="utf-8"?>
<Properties xmlns="http://schemas.openxmlformats.org/officeDocument/2006/custom-properties" xmlns:vt="http://schemas.openxmlformats.org/officeDocument/2006/docPropsVTypes"/>
</file>