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Tashkent,</w:t>
      </w:r>
      <w:r>
        <w:t xml:space="preserve"> </w:t>
      </w:r>
      <w:r>
        <w:t xml:space="preserve">Uzbekistan</w:t>
      </w:r>
    </w:p>
    <w:bookmarkStart w:id="29" w:name="X268c39210801266265b093acffdd0b791eff54c"/>
    <w:p>
      <w:pPr>
        <w:pStyle w:val="Heading1"/>
      </w:pPr>
      <w:r>
        <w:t xml:space="preserve">Research Proposal: Navigating Cultural Identity and Innovation – A Study of the Modern Musician in Tashkent, Uzbekistan</w:t>
      </w:r>
    </w:p>
    <w:bookmarkStart w:id="20" w:name="X17cb43dd88015e37e97b448cd683e9a15d5f360"/>
    <w:p>
      <w:pPr>
        <w:pStyle w:val="Heading2"/>
      </w:pPr>
      <w:r>
        <w:t xml:space="preserve">1. Introduction: The Resonant Heart of Central Asia</w:t>
      </w:r>
    </w:p>
    <w:p>
      <w:pPr>
        <w:pStyle w:val="FirstParagraph"/>
      </w:pPr>
      <w:r>
        <w:t xml:space="preserve">Tashkent, the vibrant capital of Uzbekistan, stands as a pivotal cultural crossroads where ancient Silk Road traditions intertwine with contemporary global influences. Within this dynamic urban landscape, the role of the musician transcends mere entertainment—it embodies cultural preservation, social dialogue, and national identity. This</w:t>
      </w:r>
      <w:r>
        <w:t xml:space="preserve"> </w:t>
      </w:r>
      <w:r>
        <w:rPr>
          <w:bCs/>
          <w:b/>
        </w:rPr>
        <w:t xml:space="preserve">Research Proposal</w:t>
      </w:r>
      <w:r>
        <w:t xml:space="preserve"> </w:t>
      </w:r>
      <w:r>
        <w:t xml:space="preserve">investigates the evolving ecosystem for musicians in</w:t>
      </w:r>
      <w:r>
        <w:t xml:space="preserve"> </w:t>
      </w:r>
      <w:r>
        <w:rPr>
          <w:bCs/>
          <w:b/>
        </w:rPr>
        <w:t xml:space="preserve">Uzbekistan Tashkent</w:t>
      </w:r>
      <w:r>
        <w:t xml:space="preserve">, examining how creative artists navigate tradition and modernity within a rapidly transforming society. As Uzbekistan actively reclaims its cultural heritage under President Shavkat Mirziyoyev's reforms, understanding the musician's position becomes critical to fostering sustainable artistic development.</w:t>
      </w:r>
    </w:p>
    <w:bookmarkEnd w:id="20"/>
    <w:bookmarkStart w:id="21" w:name="X94ad73b1368c5fa8faff543b1e61e202a29de2e"/>
    <w:p>
      <w:pPr>
        <w:pStyle w:val="Heading2"/>
      </w:pPr>
      <w:r>
        <w:t xml:space="preserve">2. Problem Statement: The Uncharted Territory of Musical Expression</w:t>
      </w:r>
    </w:p>
    <w:p>
      <w:pPr>
        <w:pStyle w:val="FirstParagraph"/>
      </w:pPr>
      <w:r>
        <w:t xml:space="preserve">Despite Uzbekistan’s rich musical legacy—spanning the intricate maqam system, folk instruments like the dutar and tanbur, and 19th-century classical traditions—the contemporary musician in Tashkent faces systemic challenges. A 2023 UNESCO report noted that only 17% of emerging artists receive institutional support, while digital platforms remain underutilized due to technical barriers. Crucially, no comprehensive study has mapped the musician’s professional journey in Tashkent since Uzbekistan’s cultural renaissance began in 2017. This gap obscures vital insights needed for policymakers and cultural organizations seeking to empower creative voices. Without evidence-based strategies,</w:t>
      </w:r>
      <w:r>
        <w:t xml:space="preserve"> </w:t>
      </w:r>
      <w:r>
        <w:rPr>
          <w:bCs/>
          <w:b/>
        </w:rPr>
        <w:t xml:space="preserve">Uzbekistan Tashkent</w:t>
      </w:r>
      <w:r>
        <w:t xml:space="preserve"> </w:t>
      </w:r>
      <w:r>
        <w:t xml:space="preserve">risks losing its musical innovators amid global competition.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Document the socio-economic realities and creative practices of 100+ active musicians across Tashkent’s genres (traditional, pop, electronic, fusion).</w:t>
      </w:r>
    </w:p>
    <w:p>
      <w:pPr>
        <w:pStyle w:val="BodyText"/>
      </w:pPr>
      <w:r>
        <w:rPr>
          <w:bCs/>
          <w:b/>
        </w:rPr>
        <w:t xml:space="preserve">Secondary Objectives:</w:t>
      </w:r>
    </w:p>
    <w:p>
      <w:pPr>
        <w:numPr>
          <w:ilvl w:val="0"/>
          <w:numId w:val="1001"/>
        </w:numPr>
        <w:pStyle w:val="Compact"/>
      </w:pPr>
      <w:r>
        <w:t xml:space="preserve">Analyze how government policies (e.g., "Uzbekistan 2030" cultural goals) impact musician access to venues and funding.</w:t>
      </w:r>
    </w:p>
    <w:p>
      <w:pPr>
        <w:numPr>
          <w:ilvl w:val="0"/>
          <w:numId w:val="1001"/>
        </w:numPr>
        <w:pStyle w:val="Compact"/>
      </w:pPr>
      <w:r>
        <w:t xml:space="preserve">Evaluate digital literacy’s role in music distribution among young artists.</w:t>
      </w:r>
    </w:p>
    <w:p>
      <w:pPr>
        <w:numPr>
          <w:ilvl w:val="0"/>
          <w:numId w:val="1001"/>
        </w:numPr>
        <w:pStyle w:val="Compact"/>
      </w:pPr>
      <w:r>
        <w:t xml:space="preserve">Identify tensions between preserving Uzbek musical heritage and embracing global trends through the musician’s lens.</w:t>
      </w:r>
    </w:p>
    <w:bookmarkEnd w:id="22"/>
    <w:bookmarkStart w:id="23" w:name="X53808fbf05e14d0f886d2b3cbbbcaeab55b58f3"/>
    <w:p>
      <w:pPr>
        <w:pStyle w:val="Heading2"/>
      </w:pPr>
      <w:r>
        <w:t xml:space="preserve">4. Literature Review: Bridging Gaps in Central Asian Studies</w:t>
      </w:r>
    </w:p>
    <w:p>
      <w:pPr>
        <w:pStyle w:val="FirstParagraph"/>
      </w:pPr>
      <w:r>
        <w:t xml:space="preserve">Existing scholarship on Central Asian music focuses predominantly on historical ethnomusicology (e.g., Akiner’s work on Turkic traditions) or post-Soviet political shifts, neglecting contemporary urban musicians. Recent studies from Samarkand (Bakirov, 2021) highlight generational divides but omit Tashkent’s unique position as a national capital. This proposal addresses this void by centering the</w:t>
      </w:r>
      <w:r>
        <w:t xml:space="preserve"> </w:t>
      </w:r>
      <w:r>
        <w:rPr>
          <w:bCs/>
          <w:b/>
        </w:rPr>
        <w:t xml:space="preserve">Musician</w:t>
      </w:r>
      <w:r>
        <w:t xml:space="preserve"> </w:t>
      </w:r>
      <w:r>
        <w:t xml:space="preserve">as an active agent—not just a subject—within Uzbekistan’s cultural renaissance. It builds on the World Bank’s 2022 report on creative economies in post-Soviet states, adapting its framework to Tashkent’s context.</w:t>
      </w:r>
    </w:p>
    <w:bookmarkEnd w:id="23"/>
    <w:bookmarkStart w:id="24" w:name="Xf6303abe7c4543094a12a77f05d8331d21db7e1"/>
    <w:p>
      <w:pPr>
        <w:pStyle w:val="Heading2"/>
      </w:pPr>
      <w:r>
        <w:t xml:space="preserve">5. Methodology: Grounded in Tashkent’s Reality</w:t>
      </w:r>
    </w:p>
    <w:p>
      <w:pPr>
        <w:pStyle w:val="FirstParagraph"/>
      </w:pPr>
      <w:r>
        <w:t xml:space="preserve">This mixed-methods study employs a 10-month fieldwork approach across Tashkent:</w:t>
      </w:r>
    </w:p>
    <w:p>
      <w:pPr>
        <w:numPr>
          <w:ilvl w:val="0"/>
          <w:numId w:val="1002"/>
        </w:numPr>
        <w:pStyle w:val="Compact"/>
      </w:pPr>
      <w:r>
        <w:rPr>
          <w:bCs/>
          <w:b/>
        </w:rPr>
        <w:t xml:space="preserve">Quantitative Phase:</w:t>
      </w:r>
      <w:r>
        <w:t xml:space="preserve"> </w:t>
      </w:r>
      <w:r>
        <w:t xml:space="preserve">Online survey targeting 300 musicians registered with the Uzbek Musician’s Union (via partnerships with Tashkent Conservatory and cultural NGOs like "Bakhor"). Key metrics: income sources, venue access, digital platform usage.</w:t>
      </w:r>
    </w:p>
    <w:p>
      <w:pPr>
        <w:numPr>
          <w:ilvl w:val="0"/>
          <w:numId w:val="1002"/>
        </w:numPr>
        <w:pStyle w:val="Compact"/>
      </w:pPr>
      <w:r>
        <w:rPr>
          <w:bCs/>
          <w:b/>
        </w:rPr>
        <w:t xml:space="preserve">Qualitative Phase:</w:t>
      </w:r>
      <w:r>
        <w:t xml:space="preserve"> </w:t>
      </w:r>
      <w:r>
        <w:t xml:space="preserve">In-depth interviews with 45 key informants—seasoned musicians (e.g., composer Aziza Jumaboyeva), venue owners (e.g., "Maktab" cultural space), and policymakers (Ministry of Culture representatives). Focus groups will explore generational perspectives on musical identity.</w:t>
      </w:r>
    </w:p>
    <w:p>
      <w:pPr>
        <w:numPr>
          <w:ilvl w:val="0"/>
          <w:numId w:val="1002"/>
        </w:numPr>
        <w:pStyle w:val="Compact"/>
      </w:pPr>
      <w:r>
        <w:rPr>
          <w:bCs/>
          <w:b/>
        </w:rPr>
        <w:t xml:space="preserve">Participatory Action Component:</w:t>
      </w:r>
      <w:r>
        <w:t xml:space="preserve"> </w:t>
      </w:r>
      <w:r>
        <w:t xml:space="preserve">Workshops with 20 emerging musicians to co-design solutions for common challenges, ensuring the</w:t>
      </w:r>
      <w:r>
        <w:t xml:space="preserve"> </w:t>
      </w:r>
      <w:r>
        <w:rPr>
          <w:bCs/>
          <w:b/>
        </w:rPr>
        <w:t xml:space="preserve">Research Proposal</w:t>
      </w:r>
      <w:r>
        <w:t xml:space="preserve"> </w:t>
      </w:r>
      <w:r>
        <w:t xml:space="preserve">directly informs practical change in</w:t>
      </w:r>
      <w:r>
        <w:t xml:space="preserve"> </w:t>
      </w:r>
      <w:r>
        <w:rPr>
          <w:bCs/>
          <w:b/>
        </w:rPr>
        <w:t xml:space="preserve">Uzbekistan Tashkent</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iCs/>
          <w:i/>
        </w:rPr>
        <w:t xml:space="preserve">A Comprehensive Atlas of the Tashkent Musician Ecosystem:</w:t>
      </w:r>
      <w:r>
        <w:t xml:space="preserve"> </w:t>
      </w:r>
      <w:r>
        <w:t xml:space="preserve">Mapping barriers (e.g., venue scarcity in Chilanzar district, copyright confusion) and opportunities (e.g., Tashkent’s growing festival scene like "Toshkent Jazz Days").</w:t>
      </w:r>
    </w:p>
    <w:p>
      <w:pPr>
        <w:numPr>
          <w:ilvl w:val="0"/>
          <w:numId w:val="1003"/>
        </w:numPr>
        <w:pStyle w:val="Compact"/>
      </w:pPr>
      <w:r>
        <w:rPr>
          <w:iCs/>
          <w:i/>
        </w:rPr>
        <w:t xml:space="preserve">Policy Brief for Uzbekistan’s Ministry of Culture:</w:t>
      </w:r>
      <w:r>
        <w:t xml:space="preserve"> </w:t>
      </w:r>
      <w:r>
        <w:t xml:space="preserve">Evidence-based recommendations on funding structures, digital infrastructure grants, and venue development—aligned with national goals like "Creative Economy Development 2025."</w:t>
      </w:r>
    </w:p>
    <w:p>
      <w:pPr>
        <w:numPr>
          <w:ilvl w:val="0"/>
          <w:numId w:val="1003"/>
        </w:numPr>
        <w:pStyle w:val="Compact"/>
      </w:pPr>
      <w:r>
        <w:rPr>
          <w:iCs/>
          <w:i/>
        </w:rPr>
        <w:t xml:space="preserve">A Community Toolkit:</w:t>
      </w:r>
      <w:r>
        <w:t xml:space="preserve"> </w:t>
      </w:r>
      <w:r>
        <w:t xml:space="preserve">Practical guides for musicians on navigating digital platforms (e.g., Spotify for Artists in Uzbek), creating collaborative networks, and blending traditional motifs with modern production.</w:t>
      </w:r>
    </w:p>
    <w:p>
      <w:pPr>
        <w:pStyle w:val="FirstParagraph"/>
      </w:pPr>
      <w:r>
        <w:t xml:space="preserve">The significance extends beyond academia: By centering the musician’s lived experience, this study positions</w:t>
      </w:r>
      <w:r>
        <w:t xml:space="preserve"> </w:t>
      </w:r>
      <w:r>
        <w:rPr>
          <w:bCs/>
          <w:b/>
        </w:rPr>
        <w:t xml:space="preserve">Uzbekistan Tashkent</w:t>
      </w:r>
      <w:r>
        <w:t xml:space="preserve"> </w:t>
      </w:r>
      <w:r>
        <w:t xml:space="preserve">as a model for cultural innovation in post-Soviet Central Asia. It directly supports Uzbekistan’s 2023 UN Human Development Report priority of "empowering youth through creative industries" and aligns with UNESCO’s 2019 Framework for Cultural Policies.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methodology, ethics approval from Tashkent State University of Culture.</w:t>
      </w:r>
    </w:p>
    <w:p>
      <w:pPr>
        <w:pStyle w:val="BodyText"/>
      </w:pPr>
      <w:r>
        <w:t xml:space="preserve">Data Collection (Survey + Interviews)</w:t>
      </w:r>
    </w:p>
    <w:p>
      <w:pPr>
        <w:pStyle w:val="BodyText"/>
      </w:pPr>
      <w:r>
        <w:t xml:space="preserve">3-6</w:t>
      </w:r>
    </w:p>
    <w:p>
      <w:pPr>
        <w:pStyle w:val="BodyText"/>
      </w:pPr>
      <w:r>
        <w:t xml:space="preserve">Fieldwork conducted across 5 Tashkent districts: Chilanzar, Yunusobod, Mirzo Ulug'bek, Sergeli, Yashnobod.</w:t>
      </w:r>
    </w:p>
    <w:p>
      <w:pPr>
        <w:pStyle w:val="BodyText"/>
      </w:pPr>
      <w:r>
        <w:t xml:space="preserve">Data Analysis &amp; Workshop Co-Creation</w:t>
      </w:r>
    </w:p>
    <w:p>
      <w:pPr>
        <w:pStyle w:val="BodyText"/>
      </w:pPr>
      <w:r>
        <w:t xml:space="preserve">7-8</w:t>
      </w:r>
    </w:p>
    <w:p>
      <w:pPr>
        <w:pStyle w:val="BodyText"/>
      </w:pPr>
      <w:r>
        <w:t xml:space="preserve">Thematic reports; musician-led workshops in Tashkent’s "Cultural Innovation Hub."</w:t>
      </w:r>
    </w:p>
    <w:p>
      <w:pPr>
        <w:pStyle w:val="BodyText"/>
      </w:pPr>
      <w:r>
        <w:t xml:space="preserve">Policy Dissemination &amp; Toolkit Launch</w:t>
      </w:r>
    </w:p>
    <w:p>
      <w:pPr>
        <w:pStyle w:val="BodyText"/>
      </w:pPr>
      <w:r>
        <w:t xml:space="preserve">9-10</w:t>
      </w:r>
    </w:p>
    <w:p>
      <w:pPr>
        <w:pStyle w:val="BodyText"/>
      </w:pPr>
      <w:r>
        <w:t xml:space="preserve">Final report delivered to Uzbekistan Ministry of Culture; public toolkit launched at Tashkent International Music Festival.</w:t>
      </w:r>
    </w:p>
    <w:bookmarkEnd w:id="26"/>
    <w:bookmarkStart w:id="27" w:name="conclusion-the-symphony-of-progress"/>
    <w:p>
      <w:pPr>
        <w:pStyle w:val="Heading2"/>
      </w:pPr>
      <w:r>
        <w:t xml:space="preserve">8. Conclusion: The Symphony of Progress</w:t>
      </w:r>
    </w:p>
    <w:p>
      <w:pPr>
        <w:pStyle w:val="FirstParagraph"/>
      </w:pPr>
      <w:r>
        <w:t xml:space="preserve">The musician in</w:t>
      </w:r>
      <w:r>
        <w:t xml:space="preserve"> </w:t>
      </w:r>
      <w:r>
        <w:rPr>
          <w:bCs/>
          <w:b/>
        </w:rPr>
        <w:t xml:space="preserve">Uzbekistan Tashkent</w:t>
      </w:r>
      <w:r>
        <w:t xml:space="preserve"> </w:t>
      </w:r>
      <w:r>
        <w:t xml:space="preserve">is not merely an artist but a cultural diplomat shaping the nation’s identity for future generations. This</w:t>
      </w:r>
      <w:r>
        <w:t xml:space="preserve"> </w:t>
      </w:r>
      <w:r>
        <w:rPr>
          <w:bCs/>
          <w:b/>
        </w:rPr>
        <w:t xml:space="preserve">Research Proposal</w:t>
      </w:r>
      <w:r>
        <w:t xml:space="preserve"> </w:t>
      </w:r>
      <w:r>
        <w:t xml:space="preserve">moves beyond academic inquiry to catalyze tangible change—equipping musicians with tools, guiding policymakers toward inclusive frameworks, and celebrating Uzbekistan’s sonic heritage as a living dialogue. As Tashkent emerges from its Soviet past into a confident Eurasian hub, this study ensures the musician’s voice remains central to its narrative. By investing in the creative individual within</w:t>
      </w:r>
      <w:r>
        <w:t xml:space="preserve"> </w:t>
      </w:r>
      <w:r>
        <w:rPr>
          <w:bCs/>
          <w:b/>
        </w:rPr>
        <w:t xml:space="preserve">Uzbekistan Tashkent</w:t>
      </w:r>
      <w:r>
        <w:t xml:space="preserve">, we invest in a more resonant, inclusive, and globally connected Uzbekistan—one melody at a time.</w:t>
      </w:r>
    </w:p>
    <w:bookmarkEnd w:id="27"/>
    <w:bookmarkStart w:id="28" w:name="references-selected"/>
    <w:p>
      <w:pPr>
        <w:pStyle w:val="Heading2"/>
      </w:pPr>
      <w:r>
        <w:t xml:space="preserve">9. References (Selected)</w:t>
      </w:r>
    </w:p>
    <w:p>
      <w:pPr>
        <w:numPr>
          <w:ilvl w:val="0"/>
          <w:numId w:val="1004"/>
        </w:numPr>
        <w:pStyle w:val="Compact"/>
      </w:pPr>
      <w:r>
        <w:t xml:space="preserve">UNESCO (2023). *Cultural Policies for Creative Economies in Central Asia*. Paris: UNESCO Publishing.</w:t>
      </w:r>
    </w:p>
    <w:p>
      <w:pPr>
        <w:numPr>
          <w:ilvl w:val="0"/>
          <w:numId w:val="1004"/>
        </w:numPr>
        <w:pStyle w:val="Compact"/>
      </w:pPr>
      <w:r>
        <w:t xml:space="preserve">Bakirov, S. (2021). "Generational Shifts in Samarkand Music." *Journal of Central Asian Studies*, 14(3), 45-67.</w:t>
      </w:r>
    </w:p>
    <w:p>
      <w:pPr>
        <w:numPr>
          <w:ilvl w:val="0"/>
          <w:numId w:val="1004"/>
        </w:numPr>
        <w:pStyle w:val="Compact"/>
      </w:pPr>
      <w:r>
        <w:t xml:space="preserve">World Bank (2022). *Creative Industries in Post-Soviet Economies: Uzbekistan Case Study*. Washington, DC: World Bank Group.</w:t>
      </w:r>
    </w:p>
    <w:p>
      <w:pPr>
        <w:numPr>
          <w:ilvl w:val="0"/>
          <w:numId w:val="1004"/>
        </w:numPr>
        <w:pStyle w:val="Compact"/>
      </w:pPr>
      <w:r>
        <w:t xml:space="preserve">Government of Uzbekistan (2019). *National Strategy for Cultural Development 2030*. Tashkent Ministry of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Tashkent, Uzbekistan</dc:title>
  <dc:creator/>
  <dc:language>en</dc:language>
  <cp:keywords/>
  <dcterms:created xsi:type="dcterms:W3CDTF">2026-07-23T19:17:56Z</dcterms:created>
  <dcterms:modified xsi:type="dcterms:W3CDTF">2026-07-23T19:17:56Z</dcterms:modified>
</cp:coreProperties>
</file>

<file path=docProps/custom.xml><?xml version="1.0" encoding="utf-8"?>
<Properties xmlns="http://schemas.openxmlformats.org/officeDocument/2006/custom-properties" xmlns:vt="http://schemas.openxmlformats.org/officeDocument/2006/docPropsVTypes"/>
</file>