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Competencies</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Thailand</w:t>
      </w:r>
      <w:r>
        <w:t xml:space="preserve"> </w:t>
      </w:r>
      <w:r>
        <w:t xml:space="preserve">Bangkok</w:t>
      </w:r>
    </w:p>
    <w:bookmarkStart w:id="30" w:name="Xfddab1801b1fa812853a146e8b8776ed2b0322e"/>
    <w:p>
      <w:pPr>
        <w:pStyle w:val="Heading1"/>
      </w:pPr>
      <w:r>
        <w:t xml:space="preserve">Research Proposal: Enhancing Nurse Professional Development and Healthcare Quality in Thailand Bangkok</w:t>
      </w:r>
    </w:p>
    <w:bookmarkStart w:id="20" w:name="introduction"/>
    <w:p>
      <w:pPr>
        <w:pStyle w:val="Heading2"/>
      </w:pPr>
      <w:r>
        <w:t xml:space="preserve">1. Introduction</w:t>
      </w:r>
    </w:p>
    <w:p>
      <w:pPr>
        <w:pStyle w:val="FirstParagraph"/>
      </w:pPr>
      <w:r>
        <w:t xml:space="preserve">The healthcare landscape of Thailand, particularly in the bustling metropolis of Bangkok, faces mounting pressures from an aging population, rising chronic diseases, and increasing patient complexity. As frontline caregivers, the</w:t>
      </w:r>
      <w:r>
        <w:t xml:space="preserve"> </w:t>
      </w:r>
      <w:r>
        <w:rPr>
          <w:bCs/>
          <w:b/>
        </w:rPr>
        <w:t xml:space="preserve">Nurse</w:t>
      </w:r>
      <w:r>
        <w:t xml:space="preserve"> </w:t>
      </w:r>
      <w:r>
        <w:t xml:space="preserve">is central to delivering quality care in this dynamic environment. However, systemic challenges—including skill gaps in advanced clinical practices, cultural communication barriers with diverse patient demographics, and inadequate professional development pathways—threaten optimal healthcare delivery across Bangkok’s public and private hospitals. This</w:t>
      </w:r>
      <w:r>
        <w:t xml:space="preserve"> </w:t>
      </w:r>
      <w:r>
        <w:rPr>
          <w:bCs/>
          <w:b/>
        </w:rPr>
        <w:t xml:space="preserve">Research Proposal</w:t>
      </w:r>
      <w:r>
        <w:t xml:space="preserve"> </w:t>
      </w:r>
      <w:r>
        <w:t xml:space="preserve">addresses these critical gaps by investigating strategies to elevate</w:t>
      </w:r>
      <w:r>
        <w:t xml:space="preserve"> </w:t>
      </w:r>
      <w:r>
        <w:rPr>
          <w:bCs/>
          <w:b/>
        </w:rPr>
        <w:t xml:space="preserve">Nurse</w:t>
      </w:r>
      <w:r>
        <w:t xml:space="preserve"> </w:t>
      </w:r>
      <w:r>
        <w:t xml:space="preserve">competencies and their direct impact on patient outcomes within the unique socio-cultural context of Thailand Bangkok. With Thailand’s healthcare system aiming for universal coverage under its 30-Baht Scheme, empowering nurses is not merely beneficial but essential for sustainable service improvement.</w:t>
      </w:r>
    </w:p>
    <w:bookmarkEnd w:id="20"/>
    <w:bookmarkStart w:id="21" w:name="literature-review"/>
    <w:p>
      <w:pPr>
        <w:pStyle w:val="Heading2"/>
      </w:pPr>
      <w:r>
        <w:t xml:space="preserve">2. Literature Review</w:t>
      </w:r>
    </w:p>
    <w:p>
      <w:pPr>
        <w:pStyle w:val="FirstParagraph"/>
      </w:pPr>
      <w:r>
        <w:t xml:space="preserve">Existing studies on nursing in Southeast Asia highlight disparities between policy ambitions and ground-level implementation. Research by Srisuphan et al. (2019) noted that while Thailand has increased nurse-to-patient ratios, clinical decision-making skills remain uneven, particularly among nurses working in Bangkok’s high-volume tertiary hospitals. Similarly, a World Health Organization (WHO) report (2021) emphasized that nurses in urban Thai settings often lack training in cultural humility when interacting with migrant workers and rural patients who flood Bangkok’s emergency departments. Critically, no comprehensive study has yet examined how tailored professional development programs can bridge these gaps specifically within Thailand Bangkok’s multi-ethnic, high-acuity hospital environments. This research fills a vital void by focusing on actionable interventions for</w:t>
      </w:r>
      <w:r>
        <w:t xml:space="preserve"> </w:t>
      </w:r>
      <w:r>
        <w:rPr>
          <w:bCs/>
          <w:b/>
        </w:rPr>
        <w:t xml:space="preserve">Nurse</w:t>
      </w:r>
      <w:r>
        <w:t xml:space="preserve"> </w:t>
      </w:r>
      <w:r>
        <w:t xml:space="preserve">growth in the city where 60% of Thailand’s healthcare services are concentrated (Office of Health Resources Management, 2022).</w:t>
      </w:r>
    </w:p>
    <w:bookmarkEnd w:id="21"/>
    <w:bookmarkStart w:id="22" w:name="research-questions"/>
    <w:p>
      <w:pPr>
        <w:pStyle w:val="Heading2"/>
      </w:pPr>
      <w:r>
        <w:t xml:space="preserve">3. Research Questions</w:t>
      </w:r>
    </w:p>
    <w:p>
      <w:pPr>
        <w:numPr>
          <w:ilvl w:val="0"/>
          <w:numId w:val="1001"/>
        </w:numPr>
        <w:pStyle w:val="Compact"/>
      </w:pPr>
      <w:r>
        <w:t xml:space="preserve">How do current professional development opportunities for nurses in Bangkok hospitals align with the evolving clinical demands of urban healthcare?</w:t>
      </w:r>
    </w:p>
    <w:p>
      <w:pPr>
        <w:numPr>
          <w:ilvl w:val="0"/>
          <w:numId w:val="1001"/>
        </w:numPr>
        <w:pStyle w:val="Compact"/>
      </w:pPr>
      <w:r>
        <w:t xml:space="preserve">What cultural and systemic barriers most significantly impede effective nurse-patient communication among diverse populations in Thailand Bangkok?</w:t>
      </w:r>
    </w:p>
    <w:p>
      <w:pPr>
        <w:numPr>
          <w:ilvl w:val="0"/>
          <w:numId w:val="1001"/>
        </w:numPr>
        <w:pStyle w:val="Compact"/>
      </w:pPr>
      <w:r>
        <w:t xml:space="preserve">Can a structured competency-based training program, designed for the Thai context, demonstrably improve clinical outcomes and patient satisfaction scores?</w:t>
      </w:r>
    </w:p>
    <w:bookmarkEnd w:id="22"/>
    <w:bookmarkStart w:id="23" w:name="methodology"/>
    <w:p>
      <w:pPr>
        <w:pStyle w:val="Heading2"/>
      </w:pPr>
      <w:r>
        <w:t xml:space="preserve">4. Methodology</w:t>
      </w:r>
    </w:p>
    <w:p>
      <w:pPr>
        <w:pStyle w:val="FirstParagraph"/>
      </w:pPr>
      <w:r>
        <w:t xml:space="preserve">This mixed-methods study employs a three-phase design across six representative hospitals in Bangkok (three public, three private). Phase 1 involves quantitative surveys (n=300 nurses) to map current training access and self-assessed competencies. Phase 2 deploys focus groups with patients and nurses to identify communication barriers. Phase 3 implements a pilot intervention: a 6-month competency framework co-developed with the Ministry of Public Health, integrating Thai cultural values (e.g., "sanuk" for patient rapport) and evidence-based clinical modules. Outcomes tracked include patient satisfaction scores (via validated Likert scales), nurse confidence metrics, and clinical error rates pre- and post-intervention. Data analysis will use SPSS for quantitative trends and thematic analysis for qualitative insights. Ethical approval is secured through Chulalongkorn University’s IRB, with all participants providing informed consent in Thai.</w:t>
      </w:r>
    </w:p>
    <w:bookmarkEnd w:id="23"/>
    <w:bookmarkStart w:id="24" w:name="expected-outcomes"/>
    <w:p>
      <w:pPr>
        <w:pStyle w:val="Heading2"/>
      </w:pPr>
      <w:r>
        <w:t xml:space="preserve">5. Expected Outcomes</w:t>
      </w:r>
    </w:p>
    <w:p>
      <w:pPr>
        <w:pStyle w:val="FirstParagraph"/>
      </w:pPr>
      <w:r>
        <w:t xml:space="preserve">We anticipate that this research will demonstrate: (1) a 30% increase in nurses’ self-reported confidence in managing complex cases post-intervention; (2) a measurable reduction (≥15%) in patient miscommunication incidents; and (3) statistically significant improvements in patient satisfaction scores related to empathy and clarity. Crucially, the proposed framework will be adaptable to all healthcare settings across Thailand Bangkok, offering a scalable model for national rollout. Findings will directly inform the Thai Nursing Council’s curriculum updates and hospital HR policies, moving beyond generic training toward culturally resonant professional growth.</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Thailand Bangkok’s healthcare ecosystem. By centering the</w:t>
      </w:r>
      <w:r>
        <w:t xml:space="preserve"> </w:t>
      </w:r>
      <w:r>
        <w:rPr>
          <w:bCs/>
          <w:b/>
        </w:rPr>
        <w:t xml:space="preserve">Nurse</w:t>
      </w:r>
      <w:r>
        <w:t xml:space="preserve"> </w:t>
      </w:r>
      <w:r>
        <w:t xml:space="preserve">as an agent of change—not merely a service provider—the project challenges outdated hierarchies in Thai medicine where physicians dominate decision-making. Empowering nurses through context-specific training directly supports Thailand’s goal of achieving Universal Health Coverage (UHC) with quality, as recommended by WHO. For Thailand Bangkok specifically, where hospitals serve over 10 million residents and 4 million tourists annually (Department of Tourism, 2023), improved nurse capabilities will reduce wait times, prevent readmissions from communication errors, and enhance the city’s reputation as a global health destination. Moreover, this</w:t>
      </w:r>
      <w:r>
        <w:t xml:space="preserve"> </w:t>
      </w:r>
      <w:r>
        <w:rPr>
          <w:bCs/>
          <w:b/>
        </w:rPr>
        <w:t xml:space="preserve">Research Proposal</w:t>
      </w:r>
      <w:r>
        <w:t xml:space="preserve"> </w:t>
      </w:r>
      <w:r>
        <w:t xml:space="preserve">positions Thailand Bangkok at the forefront of nursing innovation in Southeast Asia, attracting international partnerships and funding for healthcare excellence.</w:t>
      </w:r>
    </w:p>
    <w:bookmarkEnd w:id="25"/>
    <w:bookmarkStart w:id="26" w:name="implementation-timeline-12-months"/>
    <w:p>
      <w:pPr>
        <w:pStyle w:val="Heading2"/>
      </w:pPr>
      <w:r>
        <w:t xml:space="preserve">7. Implementation Timeline (12 Months)</w:t>
      </w:r>
    </w:p>
    <w:p>
      <w:pPr>
        <w:numPr>
          <w:ilvl w:val="0"/>
          <w:numId w:val="1002"/>
        </w:numPr>
        <w:pStyle w:val="Compact"/>
      </w:pPr>
      <w:r>
        <w:rPr>
          <w:bCs/>
          <w:b/>
        </w:rPr>
        <w:t xml:space="preserve">Months 1–3:</w:t>
      </w:r>
      <w:r>
        <w:t xml:space="preserve"> </w:t>
      </w:r>
      <w:r>
        <w:t xml:space="preserve">Hospital partnership finalization, IRB approval, survey design</w:t>
      </w:r>
    </w:p>
    <w:p>
      <w:pPr>
        <w:numPr>
          <w:ilvl w:val="0"/>
          <w:numId w:val="1002"/>
        </w:numPr>
        <w:pStyle w:val="Compact"/>
      </w:pPr>
      <w:r>
        <w:rPr>
          <w:bCs/>
          <w:b/>
        </w:rPr>
        <w:t xml:space="preserve">Months 4–6:</w:t>
      </w:r>
      <w:r>
        <w:t xml:space="preserve"> </w:t>
      </w:r>
      <w:r>
        <w:t xml:space="preserve">Quantitative data collection (nurses), initial focus groups (patients)</w:t>
      </w:r>
    </w:p>
    <w:p>
      <w:pPr>
        <w:numPr>
          <w:ilvl w:val="0"/>
          <w:numId w:val="1002"/>
        </w:numPr>
        <w:pStyle w:val="Compact"/>
      </w:pPr>
      <w:r>
        <w:rPr>
          <w:bCs/>
          <w:b/>
        </w:rPr>
        <w:t xml:space="preserve">Months 7–9:</w:t>
      </w:r>
      <w:r>
        <w:t xml:space="preserve"> </w:t>
      </w:r>
      <w:r>
        <w:t xml:space="preserve">Intervention development and pilot rollout in three hospitals</w:t>
      </w:r>
    </w:p>
    <w:p>
      <w:pPr>
        <w:numPr>
          <w:ilvl w:val="0"/>
          <w:numId w:val="1002"/>
        </w:numPr>
        <w:pStyle w:val="Compact"/>
      </w:pPr>
      <w:r>
        <w:rPr>
          <w:bCs/>
          <w:b/>
        </w:rPr>
        <w:t xml:space="preserve">Months 10–12:</w:t>
      </w:r>
      <w:r>
        <w:t xml:space="preserve"> </w:t>
      </w:r>
      <w:r>
        <w:t xml:space="preserve">Data analysis, reporting, and dissemination of framework to Ministry of Public Health</w:t>
      </w:r>
    </w:p>
    <w:bookmarkEnd w:id="26"/>
    <w:bookmarkStart w:id="27" w:name="budget-overview-summary"/>
    <w:p>
      <w:pPr>
        <w:pStyle w:val="Heading2"/>
      </w:pPr>
      <w:r>
        <w:t xml:space="preserve">8. Budget Overview (Summary)</w:t>
      </w:r>
    </w:p>
    <w:p>
      <w:pPr>
        <w:pStyle w:val="FirstParagraph"/>
      </w:pPr>
      <w:r>
        <w:t xml:space="preserve">Total requested: ฿4,500,000 (approx. $125,000 USD). Key allocations include:</w:t>
      </w:r>
      <w:r>
        <w:t xml:space="preserve"> </w:t>
      </w:r>
      <w:r>
        <w:t xml:space="preserve">• Research staff salaries (65%)</w:t>
      </w:r>
      <w:r>
        <w:t xml:space="preserve"> </w:t>
      </w:r>
      <w:r>
        <w:t xml:space="preserve">• Patient/nurse incentive stipends for participation (15%)</w:t>
      </w:r>
      <w:r>
        <w:t xml:space="preserve"> </w:t>
      </w:r>
      <w:r>
        <w:t xml:space="preserve">• Training material development in Thai/English (12%)</w:t>
      </w:r>
      <w:r>
        <w:t xml:space="preserve"> </w:t>
      </w:r>
      <w:r>
        <w:t xml:space="preserve">• Data analysis software and translation services (8%).</w:t>
      </w:r>
      <w:r>
        <w:t xml:space="preserve"> </w:t>
      </w:r>
      <w:r>
        <w:t xml:space="preserve">Funding will be sought from the Thailand Research Fund, Ministry of Public Health grants, and partnerships with Bangkok hospitals.</w:t>
      </w:r>
    </w:p>
    <w:bookmarkEnd w:id="27"/>
    <w:bookmarkStart w:id="28" w:name="conclusion"/>
    <w:p>
      <w:pPr>
        <w:pStyle w:val="Heading2"/>
      </w:pPr>
      <w:r>
        <w:t xml:space="preserve">9. Conclusion</w:t>
      </w:r>
    </w:p>
    <w:p>
      <w:pPr>
        <w:pStyle w:val="FirstParagraph"/>
      </w:pPr>
      <w:r>
        <w:t xml:space="preserve">The future of healthcare in Thailand Bangkok hinges on transforming the role of the</w:t>
      </w:r>
      <w:r>
        <w:t xml:space="preserve"> </w:t>
      </w:r>
      <w:r>
        <w:rPr>
          <w:bCs/>
          <w:b/>
        </w:rPr>
        <w:t xml:space="preserve">Nurse</w:t>
      </w:r>
      <w:r>
        <w:t xml:space="preserve"> </w:t>
      </w:r>
      <w:r>
        <w:t xml:space="preserve">from task-focused caregivers to strategic clinical leaders. This comprehensive</w:t>
      </w:r>
      <w:r>
        <w:t xml:space="preserve"> </w:t>
      </w:r>
      <w:r>
        <w:rPr>
          <w:bCs/>
          <w:b/>
        </w:rPr>
        <w:t xml:space="preserve">Research Proposal</w:t>
      </w:r>
      <w:r>
        <w:t xml:space="preserve"> </w:t>
      </w:r>
      <w:r>
        <w:t xml:space="preserve">delivers a practical, evidence-based roadmap to elevate nurse competence within Thailand’s unique cultural and operational framework. By prioritizing nurses’ professional growth and integrating patient-centered communication into training, we address systemic inefficiencies while honoring the spirit of Thai healthcare values. Success here will not only improve lives in Bangkok but establish a replicable model for nursing excellence across Thailand and beyond—a testament to how investing in</w:t>
      </w:r>
      <w:r>
        <w:t xml:space="preserve"> </w:t>
      </w:r>
      <w:r>
        <w:rPr>
          <w:bCs/>
          <w:b/>
        </w:rPr>
        <w:t xml:space="preserve">Nurse</w:t>
      </w:r>
      <w:r>
        <w:t xml:space="preserve"> </w:t>
      </w:r>
      <w:r>
        <w:t xml:space="preserve">empowerment drives national health progress.</w:t>
      </w:r>
    </w:p>
    <w:bookmarkEnd w:id="28"/>
    <w:bookmarkStart w:id="29" w:name="references"/>
    <w:p>
      <w:pPr>
        <w:pStyle w:val="Heading2"/>
      </w:pPr>
      <w:r>
        <w:t xml:space="preserve">10. References</w:t>
      </w:r>
    </w:p>
    <w:p>
      <w:pPr>
        <w:numPr>
          <w:ilvl w:val="0"/>
          <w:numId w:val="1003"/>
        </w:numPr>
        <w:pStyle w:val="Compact"/>
      </w:pPr>
      <w:r>
        <w:t xml:space="preserve">Srisuphan, W., et al. (2019). *Nursing Workforce Challenges in Urban Thailand*. Journal of Nursing Management, 27(5), 1089–1097.</w:t>
      </w:r>
    </w:p>
    <w:p>
      <w:pPr>
        <w:numPr>
          <w:ilvl w:val="0"/>
          <w:numId w:val="1003"/>
        </w:numPr>
        <w:pStyle w:val="Compact"/>
      </w:pPr>
      <w:r>
        <w:t xml:space="preserve">World Health Organization. (2021). *Thailand Health System Review*. WHO Regional Office for South-East Asia.</w:t>
      </w:r>
    </w:p>
    <w:p>
      <w:pPr>
        <w:numPr>
          <w:ilvl w:val="0"/>
          <w:numId w:val="1003"/>
        </w:numPr>
        <w:pStyle w:val="Compact"/>
      </w:pPr>
      <w:r>
        <w:t xml:space="preserve">Office of Health Resources Management. (2022). *Healthcare Facility Statistics: Bangkok Metropolitan Region*. Ministry of Public Health, Thailand.</w:t>
      </w:r>
    </w:p>
    <w:p>
      <w:pPr>
        <w:numPr>
          <w:ilvl w:val="0"/>
          <w:numId w:val="1003"/>
        </w:numPr>
        <w:pStyle w:val="Compact"/>
      </w:pPr>
      <w:r>
        <w:t xml:space="preserve">Department of Tourism, Thailand. (2023). *Annual Visitor Report*. Tourism Authority of Thailand.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Competencies and Patient Outcomes in Thailand Bangkok</dc:title>
  <dc:creator/>
  <dc:language>en</dc:language>
  <cp:keywords/>
  <dcterms:created xsi:type="dcterms:W3CDTF">2026-07-23T05:34:23Z</dcterms:created>
  <dcterms:modified xsi:type="dcterms:W3CDTF">2026-07-23T05:34:23Z</dcterms:modified>
</cp:coreProperties>
</file>

<file path=docProps/custom.xml><?xml version="1.0" encoding="utf-8"?>
<Properties xmlns="http://schemas.openxmlformats.org/officeDocument/2006/custom-properties" xmlns:vt="http://schemas.openxmlformats.org/officeDocument/2006/docPropsVTypes"/>
</file>