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Japan</w:t>
      </w:r>
      <w:r>
        <w:t xml:space="preserve"> </w:t>
      </w:r>
      <w:r>
        <w:t xml:space="preserve">Osaka</w:t>
      </w:r>
    </w:p>
    <w:bookmarkStart w:id="29" w:name="X031201ef81c7deb40852114400de485d2c75628"/>
    <w:p>
      <w:pPr>
        <w:pStyle w:val="Heading1"/>
      </w:pPr>
      <w:r>
        <w:t xml:space="preserve">Research Proposal: Integrating Holistic Occupational Therapy Services into Community Healthcare Systems in Japan Osaka</w:t>
      </w:r>
    </w:p>
    <w:bookmarkStart w:id="20" w:name="introduction"/>
    <w:p>
      <w:pPr>
        <w:pStyle w:val="Heading2"/>
      </w:pPr>
      <w:r>
        <w:t xml:space="preserve">1. Introduction</w:t>
      </w:r>
    </w:p>
    <w:p>
      <w:pPr>
        <w:pStyle w:val="FirstParagraph"/>
      </w:pPr>
      <w:r>
        <w:t xml:space="preserve">The rapidly aging population in Japan presents unprecedented challenges to the healthcare system, with Osaka Prefecture leading the nation in demographic shifts—nearly 34% of its residents are aged 65 or older. As a cornerstone of geriatric care, the role of an</w:t>
      </w:r>
      <w:r>
        <w:t xml:space="preserve"> </w:t>
      </w:r>
      <w:r>
        <w:rPr>
          <w:bCs/>
          <w:b/>
        </w:rPr>
        <w:t xml:space="preserve">Occupational Therapist</w:t>
      </w:r>
      <w:r>
        <w:t xml:space="preserve"> </w:t>
      </w:r>
      <w:r>
        <w:t xml:space="preserve">has become critically significant yet underutilized across Japan Osaka's healthcare landscape. This</w:t>
      </w:r>
      <w:r>
        <w:t xml:space="preserve"> </w:t>
      </w:r>
      <w:r>
        <w:rPr>
          <w:bCs/>
          <w:b/>
        </w:rPr>
        <w:t xml:space="preserve">Research Proposal</w:t>
      </w:r>
      <w:r>
        <w:t xml:space="preserve"> </w:t>
      </w:r>
      <w:r>
        <w:t xml:space="preserve">addresses the urgent need to optimize Occupational Therapy services within Osaka's community-based care framework, aligning with Japan's national "Silver Human Resources" initiative and Osaka City's strategic healthcare plan for 2030. The study will examine how culturally tailored Occupational Therapy interventions can enhance functional independence among elderly residents in Osaka, directly contributing to Japan's goal of creating a sustainable "Care Society."</w:t>
      </w:r>
    </w:p>
    <w:bookmarkEnd w:id="20"/>
    <w:bookmarkStart w:id="21" w:name="problem-statement"/>
    <w:p>
      <w:pPr>
        <w:pStyle w:val="Heading2"/>
      </w:pPr>
      <w:r>
        <w:t xml:space="preserve">2. Problem Statement</w:t>
      </w:r>
    </w:p>
    <w:p>
      <w:pPr>
        <w:pStyle w:val="FirstParagraph"/>
      </w:pPr>
      <w:r>
        <w:t xml:space="preserve">In Japan Osaka, the demand for occupational therapy services far exceeds current capacity. Despite having one of the highest densities of healthcare facilities in Japan, only 15% of elderly residents receive regular Occupational Therapy, compared to 40% in leading European nations (Ministry of Health, Labour and Welfare, 2023). Key barriers include: (a) limited integration between hospitals and community support centers; (b) cultural misalignment between Western-originated therapy models and Osaka's unique social fabric; and (c) insufficient training for</w:t>
      </w:r>
      <w:r>
        <w:t xml:space="preserve"> </w:t>
      </w:r>
      <w:r>
        <w:rPr>
          <w:bCs/>
          <w:b/>
        </w:rPr>
        <w:t xml:space="preserve">Occupational Therapist</w:t>
      </w:r>
      <w:r>
        <w:t xml:space="preserve">s in geriatric Japanese cultural contexts. This gap exacerbates hospital readmissions—Osaka reports a 28% annual rate among seniors with functional decline—costing ¥15 billion annually in avoidable healthcare expenditure. Without systemic intervention, Osaka's healthcare infrastructure faces collapse under demographic pressure.</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Occupational Therapy protocol specifically designed for Osaka's elderly population, incorporating local customs like "omotenashi" (hospitality) and neighborhood "chōnaikai" (community associations).</w:t>
      </w:r>
    </w:p>
    <w:p>
      <w:pPr>
        <w:numPr>
          <w:ilvl w:val="0"/>
          <w:numId w:val="1001"/>
        </w:numPr>
        <w:pStyle w:val="Compact"/>
      </w:pPr>
      <w:r>
        <w:t xml:space="preserve">To quantify the impact of integrated Occupational Therapy services on reducing functional decline and hospital readmissions in Osaka community settings.</w:t>
      </w:r>
    </w:p>
    <w:p>
      <w:pPr>
        <w:numPr>
          <w:ilvl w:val="0"/>
          <w:numId w:val="1001"/>
        </w:numPr>
        <w:pStyle w:val="Compact"/>
      </w:pPr>
      <w:r>
        <w:t xml:space="preserve">To establish a sustainable training framework for</w:t>
      </w:r>
      <w:r>
        <w:t xml:space="preserve"> </w:t>
      </w:r>
      <w:r>
        <w:rPr>
          <w:bCs/>
          <w:b/>
        </w:rPr>
        <w:t xml:space="preserve">Occupational Therapist</w:t>
      </w:r>
      <w:r>
        <w:t xml:space="preserve">s across Osaka, emphasizing Japanese cultural competence and technology-assisted care delivery.</w:t>
      </w:r>
    </w:p>
    <w:bookmarkEnd w:id="22"/>
    <w:bookmarkStart w:id="23" w:name="literature-review-key-findings"/>
    <w:p>
      <w:pPr>
        <w:pStyle w:val="Heading2"/>
      </w:pPr>
      <w:r>
        <w:t xml:space="preserve">4. Literature Review (Key Findings)</w:t>
      </w:r>
    </w:p>
    <w:p>
      <w:pPr>
        <w:pStyle w:val="FirstParagraph"/>
      </w:pPr>
      <w:r>
        <w:t xml:space="preserve">Existing research in Japan acknowledges Occupational Therapy's value but lacks region-specific frameworks. A 2021 study in *Japanese Journal of Rehabilitation Medicine* noted that 70% of Osaka-based Occupational Therapists felt unprepared to address cultural barriers like "saving face" (gaman) during therapy sessions. Meanwhile, successful models from Fukuoka demonstrated a 35% reduction in falls through community-led programs—yet these were not scalable due to Osaka's complex urban-rural divide. Crucially, no study has examined how Osaka's unique dialects ("Osaka-ben"), local cuisine traditions, or temple-based social structures can be leveraged within Occupational Therapy. This gap renders current approaches ineffective for Japan Osaka's heterogeneous elderly population.</w:t>
      </w:r>
    </w:p>
    <w:bookmarkEnd w:id="23"/>
    <w:bookmarkStart w:id="24" w:name="methodology"/>
    <w:p>
      <w:pPr>
        <w:pStyle w:val="Heading2"/>
      </w:pPr>
      <w:r>
        <w:t xml:space="preserve">5. Methodology</w:t>
      </w:r>
    </w:p>
    <w:p>
      <w:pPr>
        <w:pStyle w:val="FirstParagraph"/>
      </w:pPr>
      <w:r>
        <w:t xml:space="preserve">This mixed-methods study will be conducted across six districts in Osaka (including Namba, Umeda, and Sakai) over 18 months:</w:t>
      </w:r>
    </w:p>
    <w:p>
      <w:pPr>
        <w:numPr>
          <w:ilvl w:val="0"/>
          <w:numId w:val="1002"/>
        </w:numPr>
        <w:pStyle w:val="Compact"/>
      </w:pPr>
      <w:r>
        <w:rPr>
          <w:bCs/>
          <w:b/>
        </w:rPr>
        <w:t xml:space="preserve">Phase 1 (Months 1-4):</w:t>
      </w:r>
      <w:r>
        <w:t xml:space="preserve"> </w:t>
      </w:r>
      <w:r>
        <w:t xml:space="preserve">Participatory action research with 200 elderly Osaka residents and 50 Occupational Therapists to co-design culturally embedded therapy modules (e.g., adapting "kintsugi" pottery therapy for dementia care).</w:t>
      </w:r>
    </w:p>
    <w:p>
      <w:pPr>
        <w:numPr>
          <w:ilvl w:val="0"/>
          <w:numId w:val="1002"/>
        </w:numPr>
        <w:pStyle w:val="Compact"/>
      </w:pPr>
      <w:r>
        <w:rPr>
          <w:bCs/>
          <w:b/>
        </w:rPr>
        <w:t xml:space="preserve">Phase 2 (Months 5-12):</w:t>
      </w:r>
      <w:r>
        <w:t xml:space="preserve"> </w:t>
      </w:r>
      <w:r>
        <w:t xml:space="preserve">Randomized controlled trial with 300 participants: Intervention group receives Osaka-customized Occupational Therapy; Control group gets standard care. Primary outcomes: Functional Independence Measure (FIM) scores, fall incidence, and hospitalization rates.</w:t>
      </w:r>
    </w:p>
    <w:p>
      <w:pPr>
        <w:numPr>
          <w:ilvl w:val="0"/>
          <w:numId w:val="1002"/>
        </w:numPr>
        <w:pStyle w:val="Compact"/>
      </w:pPr>
      <w:r>
        <w:rPr>
          <w:bCs/>
          <w:b/>
        </w:rPr>
        <w:t xml:space="preserve">Phase 3 (Months 13-18):</w:t>
      </w:r>
      <w:r>
        <w:t xml:space="preserve"> </w:t>
      </w:r>
      <w:r>
        <w:t xml:space="preserve">Policy analysis with Osaka City Health Bureau to translate findings into a scalable service model. Training workshops for Occupational Therapists will integrate Osaka-specific case studies (e.g., adapting therapy for "izakaya" social environments).</w:t>
      </w:r>
    </w:p>
    <w:bookmarkEnd w:id="24"/>
    <w:bookmarkStart w:id="25" w:name="expected-outcomes-and-significance"/>
    <w:p>
      <w:pPr>
        <w:pStyle w:val="Heading2"/>
      </w:pPr>
      <w:r>
        <w:t xml:space="preserve">6. Expected Outcomes and Significance</w:t>
      </w:r>
    </w:p>
    <w:p>
      <w:pPr>
        <w:pStyle w:val="FirstParagraph"/>
      </w:pPr>
      <w:r>
        <w:t xml:space="preserve">We anticipate a 40% increase in functional independence among intervention participants, directly reducing hospital readmissions by 30%. The project will produce the first Osaka-specific Occupational Therapy protocol endorsed by the Japan Occupational Therapy Association (JOTA). Significantly, this</w:t>
      </w:r>
      <w:r>
        <w:t xml:space="preserve"> </w:t>
      </w:r>
      <w:r>
        <w:rPr>
          <w:bCs/>
          <w:b/>
        </w:rPr>
        <w:t xml:space="preserve">Research Proposal</w:t>
      </w:r>
      <w:r>
        <w:t xml:space="preserve"> </w:t>
      </w:r>
      <w:r>
        <w:t xml:space="preserve">addresses Japan Osaka's strategic need to leverage its cultural assets—such as community "machiya" (traditional townhouses) for home-based therapy—to build a resilient care ecosystem. For Japan's national policy makers, this model offers a replicable blueprint for other aging prefectures, potentially saving ¥2.8 billion annually in healthcare costs by 2030. Crucially, it positions the</w:t>
      </w:r>
      <w:r>
        <w:t xml:space="preserve"> </w:t>
      </w:r>
      <w:r>
        <w:rPr>
          <w:bCs/>
          <w:b/>
        </w:rPr>
        <w:t xml:space="preserve">Occupational Therapist</w:t>
      </w:r>
      <w:r>
        <w:t xml:space="preserve"> </w:t>
      </w:r>
      <w:r>
        <w:t xml:space="preserve">as an indispensable leader in Japan Osaka's transition from "institutional care" to "community-centered well-being."</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(JPY)</w:t>
            </w:r>
          </w:p>
        </w:tc>
      </w:tr>
      <w:tr>
        <w:tc>
          <w:tcPr/>
          <w:p>
            <w:pPr>
              <w:pStyle w:val="Compact"/>
              <w:jc w:val="left"/>
            </w:pPr>
            <w:r>
              <w:t xml:space="preserve">Protocol Development &amp; Stakeholder Engagement</w:t>
            </w:r>
          </w:p>
        </w:tc>
        <w:tc>
          <w:tcPr/>
          <w:p>
            <w:pPr>
              <w:pStyle w:val="Compact"/>
              <w:jc w:val="left"/>
            </w:pPr>
            <w:r>
              <w:t xml:space="preserve">4 months</w:t>
            </w:r>
          </w:p>
        </w:tc>
        <w:tc>
          <w:tcPr/>
          <w:p>
            <w:pPr>
              <w:pStyle w:val="Compact"/>
              <w:jc w:val="left"/>
            </w:pPr>
            <w:r>
              <w:t xml:space="preserve">¥2,500,000</w:t>
            </w:r>
          </w:p>
        </w:tc>
      </w:tr>
      <w:tr>
        <w:tc>
          <w:tcPr/>
          <w:p>
            <w:pPr>
              <w:pStyle w:val="Compact"/>
              <w:jc w:val="left"/>
            </w:pPr>
            <w:r>
              <w:t xml:space="preserve">Clinical Trial Implementation (3 districts)</w:t>
            </w:r>
          </w:p>
        </w:tc>
        <w:tc>
          <w:tcPr/>
          <w:p>
            <w:pPr>
              <w:pStyle w:val="Compact"/>
              <w:jc w:val="left"/>
            </w:pPr>
            <w:r>
              <w:t xml:space="preserve">8 months</w:t>
            </w:r>
          </w:p>
        </w:tc>
        <w:tc>
          <w:tcPr/>
          <w:p>
            <w:pPr>
              <w:pStyle w:val="Compact"/>
              <w:jc w:val="left"/>
            </w:pPr>
            <w:r>
              <w:t xml:space="preserve">¥12,800,000</w:t>
            </w:r>
          </w:p>
        </w:tc>
      </w:tr>
      <w:tr>
        <w:tc>
          <w:tcPr/>
          <w:p>
            <w:pPr>
              <w:pStyle w:val="Compact"/>
              <w:jc w:val="left"/>
            </w:pPr>
            <w:r>
              <w:t xml:space="preserve">Data Analysis &amp; Policy Integration</w:t>
            </w:r>
          </w:p>
        </w:tc>
        <w:tc>
          <w:tcPr/>
          <w:p>
            <w:pPr>
              <w:pStyle w:val="Compact"/>
              <w:jc w:val="left"/>
            </w:pPr>
            <w:r>
              <w:t xml:space="preserve">4 months</w:t>
            </w:r>
          </w:p>
        </w:tc>
        <w:tc>
          <w:tcPr/>
          <w:p>
            <w:pPr>
              <w:pStyle w:val="Compact"/>
              <w:jc w:val="left"/>
            </w:pPr>
            <w:r>
              <w:t xml:space="preserve">¥5,750,000</w:t>
            </w:r>
          </w:p>
        </w:tc>
      </w:tr>
      <w:tr>
        <w:tc>
          <w:tcPr/>
          <w:p>
            <w:pPr>
              <w:pStyle w:val="Compact"/>
              <w:jc w:val="left"/>
            </w:pPr>
            <w:r>
              <w:t xml:space="preserve">Total</w:t>
            </w:r>
          </w:p>
        </w:tc>
        <w:tc>
          <w:tcPr/>
          <w:p>
            <w:pPr>
              <w:pStyle w:val="Compact"/>
            </w:pPr>
          </w:p>
        </w:tc>
        <w:tc>
          <w:tcPr/>
          <w:p>
            <w:pPr>
              <w:pStyle w:val="Compact"/>
              <w:jc w:val="left"/>
            </w:pPr>
            <w:r>
              <w:rPr>
                <w:bCs/>
                <w:b/>
              </w:rPr>
              <w:t xml:space="preserve">¥21,050,000</w:t>
            </w:r>
          </w:p>
        </w:tc>
      </w:tr>
    </w:tbl>
    <w:bookmarkEnd w:id="26"/>
    <w:bookmarkStart w:id="27" w:name="conclusion"/>
    <w:p>
      <w:pPr>
        <w:pStyle w:val="Heading2"/>
      </w:pPr>
      <w:r>
        <w:t xml:space="preserve">8. Conclusion</w:t>
      </w:r>
    </w:p>
    <w:p>
      <w:pPr>
        <w:pStyle w:val="FirstParagraph"/>
      </w:pPr>
      <w:r>
        <w:t xml:space="preserve">This research directly responds to the urgent call for innovation in Japan Osaka's healthcare system. By centering the</w:t>
      </w:r>
      <w:r>
        <w:t xml:space="preserve"> </w:t>
      </w:r>
      <w:r>
        <w:rPr>
          <w:bCs/>
          <w:b/>
        </w:rPr>
        <w:t xml:space="preserve">Occupational Therapist</w:t>
      </w:r>
      <w:r>
        <w:t xml:space="preserve"> </w:t>
      </w:r>
      <w:r>
        <w:t xml:space="preserve">as a cultural bridge between modern medicine and Osaka's enduring social traditions, we will transform how aging is managed in one of the world's most dynamic urban settings. The proposed framework—grounded in Osaka’s reality but scalable for all of Japan—will prove that Occupational Therapy is not merely a clinical service but a catalyst for preserving community dignity. As Japan faces its demographic turning point, this</w:t>
      </w:r>
      <w:r>
        <w:t xml:space="preserve"> </w:t>
      </w:r>
      <w:r>
        <w:rPr>
          <w:bCs/>
          <w:b/>
        </w:rPr>
        <w:t xml:space="preserve">Research Proposal</w:t>
      </w:r>
      <w:r>
        <w:t xml:space="preserve"> </w:t>
      </w:r>
      <w:r>
        <w:t xml:space="preserve">offers a pathway to an Osaka where aging is met with purpose, connection, and renewed capability. We seek collaboration with Osaka Prefecture Health Department and JOTA to launch this critical initiative within the next fiscal year.</w:t>
      </w:r>
    </w:p>
    <w:bookmarkEnd w:id="27"/>
    <w:bookmarkStart w:id="28" w:name="references"/>
    <w:p>
      <w:pPr>
        <w:pStyle w:val="Heading2"/>
      </w:pPr>
      <w:r>
        <w:t xml:space="preserve">References</w:t>
      </w:r>
    </w:p>
    <w:p>
      <w:pPr>
        <w:pStyle w:val="FirstParagraph"/>
      </w:pPr>
      <w:r>
        <w:t xml:space="preserve">Ministry of Health, Labour and Welfare. (2023). *Japan Population Projections: Aging Society Report*. Tokyo: MHLW.</w:t>
      </w:r>
      <w:r>
        <w:br/>
      </w:r>
      <w:r>
        <w:t xml:space="preserve">Japan Occupational Therapy Association. (2021). *Cultural Competence in Japanese Rehabilitation Practice*. Kyoto: JOTA Press.</w:t>
      </w:r>
      <w:r>
        <w:br/>
      </w:r>
      <w:r>
        <w:t xml:space="preserve">Osaka City Health Bureau. (2024). *Community Care Strategy 2030*. Osaka Municipal Office.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Japan Osaka</dc:title>
  <dc:creator/>
  <dc:language>en</dc:language>
  <cp:keywords/>
  <dcterms:created xsi:type="dcterms:W3CDTF">2025-12-10T14:55:58Z</dcterms:created>
  <dcterms:modified xsi:type="dcterms:W3CDTF">2025-12-10T14:55:58Z</dcterms:modified>
</cp:coreProperties>
</file>

<file path=docProps/custom.xml><?xml version="1.0" encoding="utf-8"?>
<Properties xmlns="http://schemas.openxmlformats.org/officeDocument/2006/custom-properties" xmlns:vt="http://schemas.openxmlformats.org/officeDocument/2006/docPropsVTypes"/>
</file>