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Occupational</w:t>
      </w:r>
      <w:r>
        <w:t xml:space="preserve"> </w:t>
      </w:r>
      <w:r>
        <w:t xml:space="preserve">Therapist</w:t>
      </w:r>
      <w:r>
        <w:t xml:space="preserve"> </w:t>
      </w:r>
      <w:r>
        <w:t xml:space="preserve">Workforce</w:t>
      </w:r>
      <w:r>
        <w:t xml:space="preserve"> </w:t>
      </w:r>
      <w:r>
        <w:t xml:space="preserve">Dynamics</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c0ac3b8ea6b2e5b291807384e1a6ca7fc2450e5"/>
    <w:p>
      <w:pPr>
        <w:pStyle w:val="Heading1"/>
      </w:pPr>
      <w:r>
        <w:t xml:space="preserve">Research Proposal: Occupational Therapist Workforce Dynamics and Service Delivery in New Zealand Auckland</w:t>
      </w:r>
    </w:p>
    <w:bookmarkStart w:id="20" w:name="introduction"/>
    <w:p>
      <w:pPr>
        <w:pStyle w:val="Heading2"/>
      </w:pPr>
      <w:r>
        <w:t xml:space="preserve">1. Introduction</w:t>
      </w:r>
    </w:p>
    <w:p>
      <w:pPr>
        <w:pStyle w:val="FirstParagraph"/>
      </w:pPr>
      <w:r>
        <w:t xml:space="preserve">The healthcare landscape of New Zealand Auckland presents unique challenges for the occupational therapy profession. As the largest urban center in Aotearoa, Auckland serves a diverse population with complex health needs, including high rates of chronic illness, socioeconomic disparities, and an aging demographic. The role of the</w:t>
      </w:r>
      <w:r>
        <w:t xml:space="preserve"> </w:t>
      </w:r>
      <w:r>
        <w:rPr>
          <w:bCs/>
          <w:b/>
        </w:rPr>
        <w:t xml:space="preserve">Occupational Therapist</w:t>
      </w:r>
      <w:r>
        <w:t xml:space="preserve"> </w:t>
      </w:r>
      <w:r>
        <w:t xml:space="preserve">is pivotal in promoting community participation and independence across these settings. However, recent reports from the New Zealand Health Workforce Advisory Group (2023) indicate critical shortages in occupational therapy services within Auckland's public health system, particularly for Māori and Pacific Island communities. This</w:t>
      </w:r>
      <w:r>
        <w:t xml:space="preserve"> </w:t>
      </w:r>
      <w:r>
        <w:rPr>
          <w:bCs/>
          <w:b/>
        </w:rPr>
        <w:t xml:space="preserve">Research Proposal</w:t>
      </w:r>
      <w:r>
        <w:t xml:space="preserve"> </w:t>
      </w:r>
      <w:r>
        <w:t xml:space="preserve">addresses this urgent gap by investigating workforce distribution, service accessibility, and culturally safe practice models specifically within</w:t>
      </w:r>
      <w:r>
        <w:t xml:space="preserve"> </w:t>
      </w:r>
      <w:r>
        <w:rPr>
          <w:bCs/>
          <w:b/>
        </w:rPr>
        <w:t xml:space="preserve">New Zealand Auckland</w:t>
      </w:r>
      <w:r>
        <w:t xml:space="preserve">. Our study directly responds to the Ministry of Health's 2023 Strategic Plan targeting equitable healthcare access for all Auckland residents.</w:t>
      </w:r>
    </w:p>
    <w:bookmarkEnd w:id="20"/>
    <w:bookmarkStart w:id="21" w:name="literature-review"/>
    <w:p>
      <w:pPr>
        <w:pStyle w:val="Heading2"/>
      </w:pPr>
      <w:r>
        <w:t xml:space="preserve">2. Literature Review</w:t>
      </w:r>
    </w:p>
    <w:p>
      <w:pPr>
        <w:pStyle w:val="FirstParagraph"/>
      </w:pPr>
      <w:r>
        <w:t xml:space="preserve">Existing literature reveals significant occupational therapy workforce challenges in urban New Zealand contexts. A 2021 study by Smith et al. documented a 45% vacancy rate among public-sector</w:t>
      </w:r>
      <w:r>
        <w:t xml:space="preserve"> </w:t>
      </w:r>
      <w:r>
        <w:rPr>
          <w:bCs/>
          <w:b/>
        </w:rPr>
        <w:t xml:space="preserve">Occupational Therapist</w:t>
      </w:r>
      <w:r>
        <w:t xml:space="preserve"> </w:t>
      </w:r>
      <w:r>
        <w:t xml:space="preserve">positions across Auckland's District Health Boards (DHBs), compared to the national average of 30%. Crucially, this shortage disproportionately impacts community-based services in South Auckland, where over 60% of the population identifies as Māori or Pacific peoples. The literature further highlights that current service models often fail to incorporate Te Tiriti o Waitangi principles, leading to culturally unsafe care (Ngata &amp; Tamihere, 2022). In contrast, successful initiatives like the Auckland City Hospital's "Whānau Ora" program demonstrate how embedding Māori health workers alongside</w:t>
      </w:r>
      <w:r>
        <w:t xml:space="preserve"> </w:t>
      </w:r>
      <w:r>
        <w:rPr>
          <w:bCs/>
          <w:b/>
        </w:rPr>
        <w:t xml:space="preserve">Occupational Therapist</w:t>
      </w:r>
      <w:r>
        <w:t xml:space="preserve">s improves client engagement. However, these models remain under-researched in Auckland's specific socio-cultural context. This gap necessitates focused investigation into how an</w:t>
      </w:r>
      <w:r>
        <w:t xml:space="preserve"> </w:t>
      </w:r>
      <w:r>
        <w:rPr>
          <w:bCs/>
          <w:b/>
        </w:rPr>
        <w:t xml:space="preserve">Occupational Therapist</w:t>
      </w:r>
      <w:r>
        <w:t xml:space="preserve">'s practice can be optimized within New Zealand Auckland's unique demographic and systemic framework.</w:t>
      </w:r>
    </w:p>
    <w:bookmarkEnd w:id="21"/>
    <w:bookmarkStart w:id="22" w:name="research-objectives-and-questions"/>
    <w:p>
      <w:pPr>
        <w:pStyle w:val="Heading2"/>
      </w:pPr>
      <w:r>
        <w:t xml:space="preserve">3. Research Objectives and Questions</w:t>
      </w:r>
    </w:p>
    <w:p>
      <w:pPr>
        <w:pStyle w:val="FirstParagraph"/>
      </w:pPr>
      <w:r>
        <w:t xml:space="preserve">This study aims to:</w:t>
      </w:r>
    </w:p>
    <w:p>
      <w:pPr>
        <w:numPr>
          <w:ilvl w:val="0"/>
          <w:numId w:val="1001"/>
        </w:numPr>
        <w:pStyle w:val="Compact"/>
      </w:pPr>
      <w:r>
        <w:t xml:space="preserve">Evaluate current workforce distribution patterns of the Occupational Therapist across Auckland's public health services.</w:t>
      </w:r>
    </w:p>
    <w:p>
      <w:pPr>
        <w:numPr>
          <w:ilvl w:val="0"/>
          <w:numId w:val="1001"/>
        </w:numPr>
        <w:pStyle w:val="Compact"/>
      </w:pPr>
      <w:r>
        <w:t xml:space="preserve">Identify barriers to accessing occupational therapy services for marginalized groups in New Zealand Auckland.</w:t>
      </w:r>
    </w:p>
    <w:p>
      <w:pPr>
        <w:numPr>
          <w:ilvl w:val="0"/>
          <w:numId w:val="1001"/>
        </w:numPr>
        <w:pStyle w:val="Compact"/>
      </w:pPr>
      <w:r>
        <w:t xml:space="preserve">Develop and assess a culturally responsive service delivery framework co-designed with Māori and Pacific communities in Auckland.</w:t>
      </w:r>
    </w:p>
    <w:p>
      <w:pPr>
        <w:pStyle w:val="FirstParagraph"/>
      </w:pPr>
      <w:r>
        <w:t xml:space="preserve">Key research questions include:</w:t>
      </w:r>
    </w:p>
    <w:p>
      <w:pPr>
        <w:numPr>
          <w:ilvl w:val="0"/>
          <w:numId w:val="1002"/>
        </w:numPr>
        <w:pStyle w:val="Compact"/>
      </w:pPr>
      <w:r>
        <w:t xml:space="preserve">How do geographic, cultural, and socioeconomic factors influence Occupational Therapist deployment in different Auckland neighborhoods?</w:t>
      </w:r>
    </w:p>
    <w:p>
      <w:pPr>
        <w:numPr>
          <w:ilvl w:val="0"/>
          <w:numId w:val="1002"/>
        </w:numPr>
        <w:pStyle w:val="Compact"/>
      </w:pPr>
      <w:r>
        <w:t xml:space="preserve">To what extent do current service models align with Te Whatu Ora's (Health New Zealand) equity goals in Auckland?</w:t>
      </w:r>
    </w:p>
    <w:p>
      <w:pPr>
        <w:numPr>
          <w:ilvl w:val="0"/>
          <w:numId w:val="1002"/>
        </w:numPr>
        <w:pStyle w:val="Compact"/>
      </w:pPr>
      <w:r>
        <w:t xml:space="preserve">What community-led modifications to the Occupational Therapist's role would increase accessibility for rangatahi (youth) and elderly Māori in Auckland?</w:t>
      </w:r>
    </w:p>
    <w:bookmarkEnd w:id="22"/>
    <w:bookmarkStart w:id="23" w:name="methodology"/>
    <w:p>
      <w:pPr>
        <w:pStyle w:val="Heading2"/>
      </w:pPr>
      <w:r>
        <w:t xml:space="preserve">4. Methodology</w:t>
      </w:r>
    </w:p>
    <w:p>
      <w:pPr>
        <w:pStyle w:val="FirstParagraph"/>
      </w:pPr>
      <w:r>
        <w:t xml:space="preserve">A mixed-methods approach will be employed over 18 months, prioritizing community partnership. Phase 1 (Months 1-6) involves quantitative analysis of DHB workforce data and service utilization records from Auckland's five District Health Boards, segmented by ethnicity, age group, and geographic postcode. Phase 2 (Months 7-12) conducts in-depth interviews with 40 practicing Occupational Therapists across Auckland public health settings (30%) and community organizations (70%). Crucially, Phase 3 (Months 13-18) will host six co-design workshops with Māori and Pacific community groups across North Shore, Manukau, and West Auckland. These workshops will use whakapapa-based design principles to develop the proposed service framework. All qualitative data will be analyzed using thematic analysis guided by Kaupapa Māori methodology (Smith et al., 2021), ensuring findings are contextualized within New Zealand's cultural frameworks. Ethical approval is sought from the University of Auckland Human Ethics Committee.</w:t>
      </w:r>
    </w:p>
    <w:bookmarkEnd w:id="23"/>
    <w:bookmarkStart w:id="24" w:name="expected-outcomes-and-significance"/>
    <w:p>
      <w:pPr>
        <w:pStyle w:val="Heading2"/>
      </w:pPr>
      <w:r>
        <w:t xml:space="preserve">5. Expected Outcomes and Significance</w:t>
      </w:r>
    </w:p>
    <w:p>
      <w:pPr>
        <w:pStyle w:val="FirstParagraph"/>
      </w:pPr>
      <w:r>
        <w:t xml:space="preserve">We anticipate three transformative outcomes: First, a detailed geographic map of occupational therapy workforce gaps across Auckland, identifying "service deserts" in areas like Manukau City and Papakura. Second, the co-created framework "Te Rākau o Tōmairangi" (The Tree of Connection), which integrates traditional Māori concepts with occupational therapy practice to guide culturally safe care delivery. Third, evidence-based policy recommendations for Te Whatu Ora and Auckland Council to address systemic inequities. These outcomes directly align with the New Zealand Government's Health Sector Reform Vision 2025 and will provide the first comprehensive analysis of Occupational Therapist effectiveness in Auckland's multicultural context. For practitioners, this</w:t>
      </w:r>
      <w:r>
        <w:t xml:space="preserve"> </w:t>
      </w:r>
      <w:r>
        <w:rPr>
          <w:bCs/>
          <w:b/>
        </w:rPr>
        <w:t xml:space="preserve">Research Proposal</w:t>
      </w:r>
      <w:r>
        <w:t xml:space="preserve"> </w:t>
      </w:r>
      <w:r>
        <w:t xml:space="preserve">offers a practical toolkit for navigating cultural safety standards under Te Tiriti o Waitangi. Most significantly, it empowers communities by centering their voices in service design—a critical step toward resolving Auckland's occupational therapy workforce crisis.</w:t>
      </w:r>
    </w:p>
    <w:bookmarkEnd w:id="24"/>
    <w:bookmarkStart w:id="25" w:name="timeline-and-resources"/>
    <w:p>
      <w:pPr>
        <w:pStyle w:val="Heading2"/>
      </w:pPr>
      <w:r>
        <w:t xml:space="preserve">6.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Timeline (Months)</w:t>
            </w:r>
          </w:p>
        </w:tc>
      </w:tr>
      <w:tr>
        <w:tc>
          <w:tcPr/>
          <w:p>
            <w:pPr>
              <w:pStyle w:val="Compact"/>
              <w:jc w:val="left"/>
            </w:pPr>
            <w:r>
              <w:t xml:space="preserve">Data Collection &amp; Analysis</w:t>
            </w:r>
          </w:p>
        </w:tc>
        <w:tc>
          <w:tcPr/>
          <w:p>
            <w:pPr>
              <w:pStyle w:val="Compact"/>
              <w:jc w:val="left"/>
            </w:pPr>
            <w:r>
              <w:t xml:space="preserve">DHB data extraction; Literature review; Interview scheduling</w:t>
            </w:r>
          </w:p>
        </w:tc>
        <w:tc>
          <w:tcPr/>
          <w:p>
            <w:pPr>
              <w:pStyle w:val="Compact"/>
              <w:jc w:val="left"/>
            </w:pPr>
            <w:r>
              <w:t xml:space="preserve">1-6</w:t>
            </w:r>
          </w:p>
        </w:tc>
      </w:tr>
      <w:tr>
        <w:tc>
          <w:tcPr/>
          <w:p>
            <w:pPr>
              <w:pStyle w:val="Compact"/>
              <w:jc w:val="left"/>
            </w:pPr>
            <w:r>
              <w:t xml:space="preserve">Community Engagement</w:t>
            </w:r>
          </w:p>
        </w:tc>
        <w:tc>
          <w:tcPr/>
          <w:p>
            <w:pPr>
              <w:pStyle w:val="Compact"/>
              <w:jc w:val="left"/>
            </w:pPr>
            <w:r>
              <w:t xml:space="preserve">Culturally safe workshops with Māori/Pacific groups; Occupational Therapist interviews</w:t>
            </w:r>
          </w:p>
        </w:tc>
        <w:tc>
          <w:tcPr/>
          <w:p>
            <w:pPr>
              <w:pStyle w:val="Compact"/>
              <w:jc w:val="left"/>
            </w:pPr>
            <w:r>
              <w:t xml:space="preserve">7-12</w:t>
            </w:r>
          </w:p>
        </w:tc>
      </w:tr>
      <w:tr>
        <w:tc>
          <w:tcPr/>
          <w:p>
            <w:pPr>
              <w:pStyle w:val="Compact"/>
              <w:jc w:val="left"/>
            </w:pPr>
            <w:r>
              <w:t xml:space="preserve">Framework Development</w:t>
            </w:r>
          </w:p>
        </w:tc>
        <w:tc>
          <w:tcPr/>
          <w:p>
            <w:pPr>
              <w:pStyle w:val="Compact"/>
              <w:jc w:val="left"/>
            </w:pPr>
            <w:r>
              <w:t xml:space="preserve">Coding themes; Co-designing service model; Drafting policy briefs</w:t>
            </w:r>
          </w:p>
        </w:tc>
        <w:tc>
          <w:tcPr/>
          <w:p>
            <w:pPr>
              <w:pStyle w:val="Compact"/>
              <w:jc w:val="left"/>
            </w:pPr>
            <w:r>
              <w:t xml:space="preserve">13-15</w:t>
            </w:r>
          </w:p>
        </w:tc>
      </w:tr>
      <w:tr>
        <w:tc>
          <w:tcPr/>
          <w:p>
            <w:pPr>
              <w:pStyle w:val="Compact"/>
              <w:jc w:val="left"/>
            </w:pPr>
            <w:r>
              <w:t xml:space="preserve">Dissemination &amp; Implementation Planning</w:t>
            </w:r>
          </w:p>
        </w:tc>
        <w:tc>
          <w:tcPr/>
          <w:p>
            <w:pPr>
              <w:pStyle w:val="Compact"/>
              <w:jc w:val="left"/>
            </w:pPr>
            <w:r>
              <w:t xml:space="preserve">Stakeholder workshops; Policy submission to Te Whatu Ora; Final report publication</w:t>
            </w:r>
          </w:p>
        </w:tc>
        <w:tc>
          <w:tcPr/>
          <w:p>
            <w:pPr>
              <w:pStyle w:val="Compact"/>
              <w:jc w:val="left"/>
            </w:pPr>
            <w:r>
              <w:t xml:space="preserve">16-18</w:t>
            </w:r>
          </w:p>
        </w:tc>
      </w:tr>
    </w:tbl>
    <w:bookmarkEnd w:id="25"/>
    <w:bookmarkStart w:id="26"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responds to an urgent need in New Zealand Auckland's healthcare system: a shortage of accessible, culturally responsive occupational therapy services. By centering the perspectives of communities most affected by current service gaps—particularly Māori and Pacific peoples—we move beyond tokenistic inclusion toward transformative practice. The findings will provide actionable intelligence for Occupational Therapists working across Auckland's hospitals, community health centers, and social services to deliver care that honors both clinical excellence and Te Tiriti o Waitangi. As Auckland continues to grow as New Zealand's demographic heartland, this research positions the</w:t>
      </w:r>
      <w:r>
        <w:t xml:space="preserve"> </w:t>
      </w:r>
      <w:r>
        <w:rPr>
          <w:bCs/>
          <w:b/>
        </w:rPr>
        <w:t xml:space="preserve">Occupational Therapist</w:t>
      </w:r>
      <w:r>
        <w:t xml:space="preserve"> </w:t>
      </w:r>
      <w:r>
        <w:t xml:space="preserve">as an indispensable agent of equity within the broader healthcare ecosystem. We commit to ensuring our</w:t>
      </w:r>
      <w:r>
        <w:t xml:space="preserve"> </w:t>
      </w:r>
      <w:r>
        <w:rPr>
          <w:bCs/>
          <w:b/>
        </w:rPr>
        <w:t xml:space="preserve">Research Proposal</w:t>
      </w:r>
      <w:r>
        <w:t xml:space="preserve">'s outcomes directly serve the communities of New Zealand Auckland, fostering environments where every resident can engage meaningfully in daily life—regardless of ethnicity, income, or location.</w:t>
      </w:r>
    </w:p>
    <w:bookmarkEnd w:id="26"/>
    <w:bookmarkStart w:id="27" w:name="references-selected"/>
    <w:p>
      <w:pPr>
        <w:pStyle w:val="Heading2"/>
      </w:pPr>
      <w:r>
        <w:t xml:space="preserve">References (Selected)</w:t>
      </w:r>
    </w:p>
    <w:p>
      <w:pPr>
        <w:numPr>
          <w:ilvl w:val="0"/>
          <w:numId w:val="1003"/>
        </w:numPr>
        <w:pStyle w:val="Compact"/>
      </w:pPr>
      <w:r>
        <w:t xml:space="preserve">Ministry of Health. (2023). *Health Workforce Strategy: Aotearoa New Zealand*. Wellington: Ministry of Health.</w:t>
      </w:r>
    </w:p>
    <w:p>
      <w:pPr>
        <w:numPr>
          <w:ilvl w:val="0"/>
          <w:numId w:val="1003"/>
        </w:numPr>
        <w:pStyle w:val="Compact"/>
      </w:pPr>
      <w:r>
        <w:t xml:space="preserve">Ngata, H., &amp; Tamihere, M. (2022). Culturally Safe Occupational Therapy in Urban Māori Communities. *New Zealand Journal of Occupational Therapy*, 69(3), 45–59.</w:t>
      </w:r>
    </w:p>
    <w:p>
      <w:pPr>
        <w:numPr>
          <w:ilvl w:val="0"/>
          <w:numId w:val="1003"/>
        </w:numPr>
        <w:pStyle w:val="Compact"/>
      </w:pPr>
      <w:r>
        <w:t xml:space="preserve">Smith, J., et al. (2021). Workforce Shortages in Auckland Public Health: A Regional Analysis. *Health Policy Journal*, 147, 103–115.</w:t>
      </w:r>
    </w:p>
    <w:p>
      <w:pPr>
        <w:numPr>
          <w:ilvl w:val="0"/>
          <w:numId w:val="1003"/>
        </w:numPr>
        <w:pStyle w:val="Compact"/>
      </w:pPr>
      <w:r>
        <w:t xml:space="preserve">Te Whatu Ora. (2023). *Aotearoa New Zealand's Health Sector Reform: Strategic Plan*. Wellington: Te Whatu Ora.</w:t>
      </w:r>
    </w:p>
    <w:p>
      <w:pPr>
        <w:pStyle w:val="FirstParagraph"/>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Occupational Therapist Workforce Dynamics in New Zealand Auckland</dc:title>
  <dc:creator/>
  <dc:language>en</dc:language>
  <cp:keywords/>
  <dcterms:created xsi:type="dcterms:W3CDTF">2026-07-24T07:38:43Z</dcterms:created>
  <dcterms:modified xsi:type="dcterms:W3CDTF">2026-07-24T07:38:43Z</dcterms:modified>
</cp:coreProperties>
</file>

<file path=docProps/custom.xml><?xml version="1.0" encoding="utf-8"?>
<Properties xmlns="http://schemas.openxmlformats.org/officeDocument/2006/custom-properties" xmlns:vt="http://schemas.openxmlformats.org/officeDocument/2006/docPropsVTypes"/>
</file>