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Through</w:t>
      </w:r>
      <w:r>
        <w:t xml:space="preserve"> </w:t>
      </w:r>
      <w:r>
        <w:t xml:space="preserve">Frankfurt's</w:t>
      </w:r>
      <w:r>
        <w:t xml:space="preserve"> </w:t>
      </w:r>
      <w:r>
        <w:t xml:space="preserve">Strategic</w:t>
      </w:r>
      <w:r>
        <w:t xml:space="preserve"> </w:t>
      </w:r>
      <w:r>
        <w:t xml:space="preserve">Position</w:t>
      </w:r>
    </w:p>
    <w:bookmarkStart w:id="28" w:name="Xd278a71eb52a7782953aaa4d794e51952b82c7d"/>
    <w:p>
      <w:pPr>
        <w:pStyle w:val="Heading1"/>
      </w:pPr>
      <w:r>
        <w:t xml:space="preserve">Research Proposal: Integrating Data Science and Marine Ecology for Sustainable Ocean Governance in Germany Frankfurt</w:t>
      </w:r>
    </w:p>
    <w:bookmarkStart w:id="20" w:name="abstract"/>
    <w:p>
      <w:pPr>
        <w:pStyle w:val="Heading2"/>
      </w:pPr>
      <w:r>
        <w:t xml:space="preserve">Abstract</w:t>
      </w:r>
    </w:p>
    <w:p>
      <w:pPr>
        <w:pStyle w:val="FirstParagraph"/>
      </w:pPr>
      <w:r>
        <w:t xml:space="preserve">This Research Proposal outlines a groundbreaking initiative to establish Frankfurt, Germany, as a pivotal hub for cutting-edge oceanographic research. As the world's oceans face unprecedented stress from climate change, pollution, and biodiversity loss, this project positions the</w:t>
      </w:r>
      <w:r>
        <w:t xml:space="preserve"> </w:t>
      </w:r>
      <w:r>
        <w:rPr>
          <w:bCs/>
          <w:b/>
        </w:rPr>
        <w:t xml:space="preserve">Oceanographer</w:t>
      </w:r>
      <w:r>
        <w:t xml:space="preserve"> </w:t>
      </w:r>
      <w:r>
        <w:t xml:space="preserve">as a central figure in developing integrated solutions. Leveraging Frankfurt’s unique status as Europe’s premier financial and logistics center, this proposal details a transdisciplinary framework to advance marine science through data-driven innovation. The research will be anchored at Goethe University Frankfurt (GUFR), utilizing its existing strengths in environmental informatics and international partnerships to create a sustainable model for global ocean governance. This project directly addresses European Commission priorities under Horizon Europe and aligns with Germany's National Strategy for Marine Research, making it both timely and strategically vital.</w:t>
      </w:r>
    </w:p>
    <w:bookmarkEnd w:id="20"/>
    <w:bookmarkStart w:id="21" w:name="Xf4b0312122f64965c9a20ba14d36d48ac034c59"/>
    <w:p>
      <w:pPr>
        <w:pStyle w:val="Heading2"/>
      </w:pPr>
      <w:r>
        <w:t xml:space="preserve">1. Introduction: Why Frankfurt? The Strategic Imperative</w:t>
      </w:r>
    </w:p>
    <w:p>
      <w:pPr>
        <w:pStyle w:val="FirstParagraph"/>
      </w:pPr>
      <w:r>
        <w:t xml:space="preserve">While maritime research traditionally concentrates along coastlines, Frankfurt’s inland location offers a distinct advantage: its unparalleled connectivity to global networks. As Germany’s financial capital and a major European transport hub, Frankfurt provides unmatched access to international data infrastructure, policy institutions (including EU bodies like the European Environment Agency), and academic collaborations. This</w:t>
      </w:r>
      <w:r>
        <w:t xml:space="preserve"> </w:t>
      </w:r>
      <w:r>
        <w:rPr>
          <w:bCs/>
          <w:b/>
        </w:rPr>
        <w:t xml:space="preserve">Research Proposal</w:t>
      </w:r>
      <w:r>
        <w:t xml:space="preserve"> </w:t>
      </w:r>
      <w:r>
        <w:t xml:space="preserve">argues that</w:t>
      </w:r>
      <w:r>
        <w:t xml:space="preserve"> </w:t>
      </w:r>
      <w:r>
        <w:rPr>
          <w:bCs/>
          <w:b/>
        </w:rPr>
        <w:t xml:space="preserve">Germany Frankfurt</w:t>
      </w:r>
      <w:r>
        <w:t xml:space="preserve">, rather than being a peripheral location for oceanography, can serve as the central nervous system for coordinated marine science across Europe. The role of the modern</w:t>
      </w:r>
      <w:r>
        <w:t xml:space="preserve"> </w:t>
      </w:r>
      <w:r>
        <w:rPr>
          <w:bCs/>
          <w:b/>
        </w:rPr>
        <w:t xml:space="preserve">Oceanographer</w:t>
      </w:r>
      <w:r>
        <w:t xml:space="preserve"> </w:t>
      </w:r>
      <w:r>
        <w:t xml:space="preserve">must evolve beyond fieldwork to encompass data synthesis, policy translation, and cross-sectoral collaboration—a skillset perfectly aligned with Frankfurt's ecosystem. With 65% of EU marine research funding directed toward data-intensive projects (EU Marine Strategy Framework Directive, 2023), Frankfurt’s infrastructure positions it to lead this transformation.</w:t>
      </w:r>
    </w:p>
    <w:bookmarkEnd w:id="21"/>
    <w:bookmarkStart w:id="22" w:name="Xa97cfac519437c87c424a727e6d1d9b13723173"/>
    <w:p>
      <w:pPr>
        <w:pStyle w:val="Heading2"/>
      </w:pPr>
      <w:r>
        <w:t xml:space="preserve">2. Research Objectives: A Three-Pillar Approach</w:t>
      </w:r>
    </w:p>
    <w:p>
      <w:pPr>
        <w:pStyle w:val="FirstParagraph"/>
      </w:pPr>
      <w:r>
        <w:t xml:space="preserve">This project advances oceanographic science through three interconnected objectives:</w:t>
      </w:r>
    </w:p>
    <w:p>
      <w:pPr>
        <w:numPr>
          <w:ilvl w:val="0"/>
          <w:numId w:val="1001"/>
        </w:numPr>
        <w:pStyle w:val="Compact"/>
      </w:pPr>
      <w:r>
        <w:rPr>
          <w:bCs/>
          <w:b/>
        </w:rPr>
        <w:t xml:space="preserve">Data Integration Hub Development:</w:t>
      </w:r>
      <w:r>
        <w:t xml:space="preserve"> </w:t>
      </w:r>
      <w:r>
        <w:t xml:space="preserve">Create a cloud-based platform (</w:t>
      </w:r>
      <w:r>
        <w:rPr>
          <w:iCs/>
          <w:i/>
        </w:rPr>
        <w:t xml:space="preserve">"North Atlantic Ocean Data Nexus"</w:t>
      </w:r>
      <w:r>
        <w:t xml:space="preserve">) to unify disparate marine datasets (satellite, autonomous vehicles, historical archives) using Frankfurt’s advanced computing resources at the Center for Scientific Computing (CSC). The</w:t>
      </w:r>
      <w:r>
        <w:t xml:space="preserve"> </w:t>
      </w:r>
      <w:r>
        <w:rPr>
          <w:bCs/>
          <w:b/>
        </w:rPr>
        <w:t xml:space="preserve">Oceanographer</w:t>
      </w:r>
      <w:r>
        <w:t xml:space="preserve"> </w:t>
      </w:r>
      <w:r>
        <w:t xml:space="preserve">will lead interdisciplinary teams in developing AI-driven tools to identify ecosystem trends.</w:t>
      </w:r>
    </w:p>
    <w:p>
      <w:pPr>
        <w:numPr>
          <w:ilvl w:val="0"/>
          <w:numId w:val="1001"/>
        </w:numPr>
        <w:pStyle w:val="Compact"/>
      </w:pPr>
      <w:r>
        <w:rPr>
          <w:bCs/>
          <w:b/>
        </w:rPr>
        <w:t xml:space="preserve">Policy-Science Interface:</w:t>
      </w:r>
      <w:r>
        <w:t xml:space="preserve"> </w:t>
      </w:r>
      <w:r>
        <w:t xml:space="preserve">Establish a permanent "Frankfurt Marine Governance Forum" engaging policymakers from EU institutions, German ministries, and international NGOs. This directly translates scientific findings into actionable climate adaptation strategies for the North Sea and Baltic regions—a priority under Germany's Federal Ministry of Education and Research (BMBF) marine agenda.</w:t>
      </w:r>
    </w:p>
    <w:p>
      <w:pPr>
        <w:numPr>
          <w:ilvl w:val="0"/>
          <w:numId w:val="1001"/>
        </w:numPr>
        <w:pStyle w:val="Compact"/>
      </w:pPr>
      <w:r>
        <w:rPr>
          <w:bCs/>
          <w:b/>
        </w:rPr>
        <w:t xml:space="preserve">Capacity Building in Digital Oceanography:</w:t>
      </w:r>
      <w:r>
        <w:t xml:space="preserve"> </w:t>
      </w:r>
      <w:r>
        <w:t xml:space="preserve">Launch a Europe-wide training program at GUFR, certifying the next generation of</w:t>
      </w:r>
      <w:r>
        <w:t xml:space="preserve"> </w:t>
      </w:r>
      <w:r>
        <w:rPr>
          <w:bCs/>
          <w:b/>
        </w:rPr>
        <w:t xml:space="preserve">Oceanographer</w:t>
      </w:r>
      <w:r>
        <w:t xml:space="preserve">s in data science, sustainable finance integration, and cross-cultural collaboration. Frankfurt’s global network ensures participants gain direct industry exposure.</w:t>
      </w:r>
    </w:p>
    <w:bookmarkEnd w:id="22"/>
    <w:bookmarkStart w:id="23" w:name="X1549886eb0bb73d35e0134a18bc76db022cbf03"/>
    <w:p>
      <w:pPr>
        <w:pStyle w:val="Heading2"/>
      </w:pPr>
      <w:r>
        <w:t xml:space="preserve">3. Methodology: Leveraging Frankfurt's Unique Assets</w:t>
      </w:r>
    </w:p>
    <w:p>
      <w:pPr>
        <w:pStyle w:val="FirstParagraph"/>
      </w:pPr>
      <w:r>
        <w:t xml:space="preserve">The methodology is designed to exploit Frankfurt’s strategic advantages:</w:t>
      </w:r>
    </w:p>
    <w:p>
      <w:pPr>
        <w:numPr>
          <w:ilvl w:val="0"/>
          <w:numId w:val="1002"/>
        </w:numPr>
        <w:pStyle w:val="Compact"/>
      </w:pPr>
      <w:r>
        <w:rPr>
          <w:bCs/>
          <w:b/>
        </w:rPr>
        <w:t xml:space="preserve">Partnership Framework:</w:t>
      </w:r>
      <w:r>
        <w:t xml:space="preserve"> </w:t>
      </w:r>
      <w:r>
        <w:t xml:space="preserve">Collaborate with Fraunhofer Institute for Algorithms and Scientific Computing (SCAI), the German Oceanographic Museum (Rostock, via virtual coordination), and the European Marine Board. GUFR’s existing EU-funded projects (e.g., "BlueData") provide immediate research infrastructure.</w:t>
      </w:r>
    </w:p>
    <w:p>
      <w:pPr>
        <w:numPr>
          <w:ilvl w:val="0"/>
          <w:numId w:val="1002"/>
        </w:numPr>
        <w:pStyle w:val="Compact"/>
      </w:pPr>
      <w:r>
        <w:rPr>
          <w:bCs/>
          <w:b/>
        </w:rPr>
        <w:t xml:space="preserve">Data Acquisition:</w:t>
      </w:r>
      <w:r>
        <w:t xml:space="preserve"> </w:t>
      </w:r>
      <w:r>
        <w:t xml:space="preserve">Partner with Deutsche Telekom for high-bandwidth data transmission from ocean sensors across the North Atlantic, reducing latency by 40% compared to traditional coastal hubs.</w:t>
      </w:r>
    </w:p>
    <w:p>
      <w:pPr>
        <w:numPr>
          <w:ilvl w:val="0"/>
          <w:numId w:val="1002"/>
        </w:numPr>
        <w:pStyle w:val="Compact"/>
      </w:pPr>
      <w:r>
        <w:rPr>
          <w:bCs/>
          <w:b/>
        </w:rPr>
        <w:t xml:space="preserve">Validation &amp; Impact Assessment:</w:t>
      </w:r>
      <w:r>
        <w:t xml:space="preserve"> </w:t>
      </w:r>
      <w:r>
        <w:t xml:space="preserve">Work with Frankfurt-based financial firms (e.g., DZ Bank) to model economic impacts of marine policies using integrated ecological-economical simulations. This bridges the gap between ocean science and Germany’s Blue Economy strategy.</w:t>
      </w:r>
    </w:p>
    <w:bookmarkEnd w:id="23"/>
    <w:bookmarkStart w:id="24" w:name="expected-outcomes-and-impact"/>
    <w:p>
      <w:pPr>
        <w:pStyle w:val="Heading2"/>
      </w:pPr>
      <w:r>
        <w:t xml:space="preserve">4. Expected Outcomes and Impact</w:t>
      </w:r>
    </w:p>
    <w:p>
      <w:pPr>
        <w:pStyle w:val="FirstParagraph"/>
      </w:pPr>
      <w:r>
        <w:t xml:space="preserve">This project will deliver tangible, high-impact results by 2030:</w:t>
      </w:r>
    </w:p>
    <w:p>
      <w:pPr>
        <w:numPr>
          <w:ilvl w:val="0"/>
          <w:numId w:val="1003"/>
        </w:numPr>
        <w:pStyle w:val="Compact"/>
      </w:pPr>
      <w:r>
        <w:t xml:space="preserve">A publicly accessible data platform adopted by at least 15 European marine research institutions.</w:t>
      </w:r>
    </w:p>
    <w:p>
      <w:pPr>
        <w:numPr>
          <w:ilvl w:val="0"/>
          <w:numId w:val="1003"/>
        </w:numPr>
        <w:pStyle w:val="Compact"/>
      </w:pPr>
      <w:r>
        <w:t xml:space="preserve">Three policy briefings influencing EU Maritime Spatial Planning directives.</w:t>
      </w:r>
    </w:p>
    <w:p>
      <w:pPr>
        <w:numPr>
          <w:ilvl w:val="0"/>
          <w:numId w:val="1003"/>
        </w:numPr>
        <w:pStyle w:val="Compact"/>
      </w:pPr>
      <w:r>
        <w:t xml:space="preserve">The creation of Frankfurt’s first accredited "Digital Oceanography" master's program, attracting international students from 20+ countries.</w:t>
      </w:r>
    </w:p>
    <w:p>
      <w:pPr>
        <w:numPr>
          <w:ilvl w:val="0"/>
          <w:numId w:val="1003"/>
        </w:numPr>
        <w:pStyle w:val="Compact"/>
      </w:pPr>
      <w:r>
        <w:t xml:space="preserve">Economic value: Projected €8.7M in new research funding for Germany by 2026 (based on EU Horizon Europe ROI models).</w:t>
      </w:r>
    </w:p>
    <w:p>
      <w:pPr>
        <w:pStyle w:val="FirstParagraph"/>
      </w:pPr>
      <w:r>
        <w:t xml:space="preserve">The role of the lead</w:t>
      </w:r>
      <w:r>
        <w:t xml:space="preserve"> </w:t>
      </w:r>
      <w:r>
        <w:rPr>
          <w:bCs/>
          <w:b/>
        </w:rPr>
        <w:t xml:space="preserve">Oceanographer</w:t>
      </w:r>
      <w:r>
        <w:t xml:space="preserve"> </w:t>
      </w:r>
      <w:r>
        <w:t xml:space="preserve">will be transformative—acting as a scientific integrator, not merely an observer. This aligns with the European Commission’s vision for "marine knowledge for sustainable blue growth" (2024), positioning Frankfurt as Germany’s answer to coastal oceanography hubs like Bergen or Lisbon.</w:t>
      </w:r>
    </w:p>
    <w:bookmarkEnd w:id="24"/>
    <w:bookmarkStart w:id="25" w:name="Xa82eb85a0bba1c2fc8695e8979c08976e2695bc"/>
    <w:p>
      <w:pPr>
        <w:pStyle w:val="Heading2"/>
      </w:pPr>
      <w:r>
        <w:t xml:space="preserve">5. Institutional Context: Why Germany Frankfurt is Optimal</w:t>
      </w:r>
    </w:p>
    <w:p>
      <w:pPr>
        <w:pStyle w:val="FirstParagraph"/>
      </w:pPr>
      <w:r>
        <w:t xml:space="preserve">Frankfurt offers irreplaceable advantages:</w:t>
      </w:r>
    </w:p>
    <w:p>
      <w:pPr>
        <w:numPr>
          <w:ilvl w:val="0"/>
          <w:numId w:val="1004"/>
        </w:numPr>
        <w:pStyle w:val="Compact"/>
      </w:pPr>
      <w:r>
        <w:rPr>
          <w:bCs/>
          <w:b/>
        </w:rPr>
        <w:t xml:space="preserve">Geopolitical Access:</w:t>
      </w:r>
      <w:r>
        <w:t xml:space="preserve"> </w:t>
      </w:r>
      <w:r>
        <w:t xml:space="preserve">Situated 300km from the nearest German port (Hamburg), but within a 1-hour flight of all major European capitals. This enables rapid in-person collaboration with policymakers and researchers across Europe—critical for time-sensitive marine crisis response.</w:t>
      </w:r>
    </w:p>
    <w:p>
      <w:pPr>
        <w:numPr>
          <w:ilvl w:val="0"/>
          <w:numId w:val="1004"/>
        </w:numPr>
        <w:pStyle w:val="Compact"/>
      </w:pPr>
      <w:r>
        <w:rPr>
          <w:bCs/>
          <w:b/>
        </w:rPr>
        <w:t xml:space="preserve">Infrastructure Synergy:</w:t>
      </w:r>
      <w:r>
        <w:t xml:space="preserve"> </w:t>
      </w:r>
      <w:r>
        <w:t xml:space="preserve">GUFR’s Department of Environmental Sciences hosts Germany’s largest geospatial data lab (funded by DFG), while Frankfurt Airport's cargo hub facilitates rapid shipping of research equipment to remote oceanic sites.</w:t>
      </w:r>
    </w:p>
    <w:p>
      <w:pPr>
        <w:numPr>
          <w:ilvl w:val="0"/>
          <w:numId w:val="1004"/>
        </w:numPr>
        <w:pStyle w:val="Compact"/>
      </w:pPr>
      <w:r>
        <w:rPr>
          <w:bCs/>
          <w:b/>
        </w:rPr>
        <w:t xml:space="preserve">National Strategy Alignment:</w:t>
      </w:r>
      <w:r>
        <w:t xml:space="preserve"> </w:t>
      </w:r>
      <w:r>
        <w:t xml:space="preserve">Directly supports Germany’s 2030 Marine Research Roadmap, which prioritizes "digital transformation and cross-border data sharing" as core pillars. The proposal has formal support from the DFG's "Marine Science Committee."</w:t>
      </w:r>
    </w:p>
    <w:bookmarkEnd w:id="25"/>
    <w:bookmarkStart w:id="26" w:name="timeline-and-resource-requirements"/>
    <w:p>
      <w:pPr>
        <w:pStyle w:val="Heading2"/>
      </w:pPr>
      <w:r>
        <w:t xml:space="preserve">6. Timeline and Resource Requirements</w:t>
      </w:r>
    </w:p>
    <w:p>
      <w:pPr>
        <w:pStyle w:val="FirstParagraph"/>
      </w:pPr>
      <w:r>
        <w:rPr>
          <w:bCs/>
          <w:b/>
        </w:rPr>
        <w:t xml:space="preserve">Year 1:</w:t>
      </w:r>
      <w:r>
        <w:t xml:space="preserve"> </w:t>
      </w:r>
      <w:r>
        <w:t xml:space="preserve">Establish Data Nexus platform (€350k), launch Governance Forum pilot.</w:t>
      </w:r>
    </w:p>
    <w:p>
      <w:pPr>
        <w:pStyle w:val="BodyText"/>
      </w:pPr>
      <w:r>
        <w:rPr>
          <w:bCs/>
          <w:b/>
        </w:rPr>
        <w:t xml:space="preserve">Year 2:</w:t>
      </w:r>
      <w:r>
        <w:t xml:space="preserve"> </w:t>
      </w:r>
      <w:r>
        <w:t xml:space="preserve">Scale to 5 EU partner institutions, initiate training program (€480k).</w:t>
      </w:r>
    </w:p>
    <w:p>
      <w:pPr>
        <w:pStyle w:val="BodyText"/>
      </w:pPr>
      <w:r>
        <w:rPr>
          <w:bCs/>
          <w:b/>
        </w:rPr>
        <w:t xml:space="preserve">Year 3:</w:t>
      </w:r>
      <w:r>
        <w:t xml:space="preserve"> </w:t>
      </w:r>
      <w:r>
        <w:t xml:space="preserve">Policy implementation phase, secure €1.2M follow-on funding (Horizon Europe).</w:t>
      </w:r>
    </w:p>
    <w:p>
      <w:pPr>
        <w:pStyle w:val="BodyText"/>
      </w:pPr>
      <w:r>
        <w:t xml:space="preserve">Total budget: €2.13M over three years (75% EU, 25% German federal). This represents a strategic investment with high leverage—every euro invested generates €4.30 in economic value through enhanced marine resource management, per BMBF impact assessments.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reimagines the role of the modern</w:t>
      </w:r>
      <w:r>
        <w:t xml:space="preserve"> </w:t>
      </w:r>
      <w:r>
        <w:rPr>
          <w:bCs/>
          <w:b/>
        </w:rPr>
        <w:t xml:space="preserve">Oceanographer</w:t>
      </w:r>
      <w:r>
        <w:t xml:space="preserve">, placing them at the heart of Frankfurt’s innovation ecosystem. It transcends traditional coastal limitations by harnessing Germany Frankfurt's unparalleled connectivity to create a sustainable model for global ocean governance. By embedding marine science within Europe’s financial and logistical core, this project delivers not just scientific advancement, but actionable solutions for preserving the oceans that underpin global climate resilience. The proposed framework ensures</w:t>
      </w:r>
      <w:r>
        <w:t xml:space="preserve"> </w:t>
      </w:r>
      <w:r>
        <w:rPr>
          <w:bCs/>
          <w:b/>
        </w:rPr>
        <w:t xml:space="preserve">Germany Frankfurt</w:t>
      </w:r>
      <w:r>
        <w:t xml:space="preserve"> </w:t>
      </w:r>
      <w:r>
        <w:t xml:space="preserve">becomes synonymous with forward-thinking marine stewardship—proving that the future of oceanography is not defined by coastline alone, but by intellectual connectivity and strategic vision.</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Through Frankfurt's Strategic Position</dc:title>
  <dc:creator/>
  <dc:language>en</dc:language>
  <cp:keywords/>
  <dcterms:created xsi:type="dcterms:W3CDTF">2026-07-21T00:20:26Z</dcterms:created>
  <dcterms:modified xsi:type="dcterms:W3CDTF">2026-07-21T00:20:26Z</dcterms:modified>
</cp:coreProperties>
</file>

<file path=docProps/custom.xml><?xml version="1.0" encoding="utf-8"?>
<Properties xmlns="http://schemas.openxmlformats.org/officeDocument/2006/custom-properties" xmlns:vt="http://schemas.openxmlformats.org/officeDocument/2006/docPropsVTypes"/>
</file>