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Ophthalmology</w:t>
      </w:r>
      <w:r>
        <w:t xml:space="preserve"> </w:t>
      </w:r>
      <w:r>
        <w:t xml:space="preserve">Services</w:t>
      </w:r>
      <w:r>
        <w:t xml:space="preserve"> </w:t>
      </w:r>
      <w:r>
        <w:t xml:space="preserve">in</w:t>
      </w:r>
      <w:r>
        <w:t xml:space="preserve"> </w:t>
      </w:r>
      <w:r>
        <w:t xml:space="preserve">Brisbane,</w:t>
      </w:r>
      <w:r>
        <w:t xml:space="preserve"> </w:t>
      </w:r>
      <w:r>
        <w:t xml:space="preserve">Australia</w:t>
      </w:r>
    </w:p>
    <w:bookmarkStart w:id="33" w:name="Xf2d277dec871ae1846d7d0c26acbd3b3a2a6f0a"/>
    <w:p>
      <w:pPr>
        <w:pStyle w:val="Heading1"/>
      </w:pPr>
      <w:r>
        <w:t xml:space="preserve">Research Proposal: Enhancing Ophthalmologist Services for Brisbane's Growing Population in Australia</w:t>
      </w:r>
    </w:p>
    <w:bookmarkStart w:id="20" w:name="introduction-and-background"/>
    <w:p>
      <w:pPr>
        <w:pStyle w:val="Heading2"/>
      </w:pPr>
      <w:r>
        <w:t xml:space="preserve">1. Introduction and Background</w:t>
      </w:r>
    </w:p>
    <w:p>
      <w:pPr>
        <w:pStyle w:val="FirstParagraph"/>
      </w:pPr>
      <w:r>
        <w:t xml:space="preserve">The field of ophthalmology faces unprecedented challenges across Australia, particularly in metropolitan centers like Brisbane. As Queensland's largest city experiences rapid demographic growth—projected to reach 3.5 million residents by 2030—the demand for specialized eye care services is escalating at a critical pace. Currently, Brisbane has only 18 ophthalmologists per 100,000 residents, significantly below the national average of 22 per 100,000 and far behind comparable global cities like Singapore (35 per 100,00₀). This gap is exacerbated by an aging population where age-related macular degeneration (AMD), glaucoma, and diabetic retinopathy are increasing at alarming rates. With over 1.2 million Queenslanders aged 65+—a group disproportionately affected by vision loss—the current ophthalmologist capacity in Australia Brisbane cannot meet emerging healthcare needs.</w:t>
      </w:r>
    </w:p>
    <w:bookmarkEnd w:id="20"/>
    <w:bookmarkStart w:id="21" w:name="problem-statement"/>
    <w:p>
      <w:pPr>
        <w:pStyle w:val="Heading2"/>
      </w:pPr>
      <w:r>
        <w:t xml:space="preserve">2. Problem Statement</w:t>
      </w:r>
    </w:p>
    <w:p>
      <w:pPr>
        <w:pStyle w:val="FirstParagraph"/>
      </w:pPr>
      <w:r>
        <w:t xml:space="preserve">Australia Brisbane faces a dual crisis: geographic maldistribution of ophthalmologists and rising patient complexity. While 70% of specialists operate within the inner-city CBD, peripheral suburbs like Logan and Ipswich experience severe shortages (1 physician per 50,000 people). Concurrently, patients with chronic conditions such as diabetes require more frequent monitoring—a burden not reflected in current staffing models. This disconnect results in average wait times exceeding six months for non-urgent consultations at public clinics, directly contributing to avoidable vision loss. Recent Queensland Health data (2023) confirms that 18% of Brisbane residents with diabetic retinopathy experience delayed treatment due to accessibility barriers, a rate 40% higher than the national average. This research proposal addresses this critical gap by investigating how ophthalmologist service delivery can be optimized within Brisbane's unique urban landscape.</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of ophthalmologists across Brisbane local government areas (LGAs) and correlate it with age-adjusted disease prevalence data.</w:t>
      </w:r>
    </w:p>
    <w:p>
      <w:pPr>
        <w:numPr>
          <w:ilvl w:val="0"/>
          <w:numId w:val="1001"/>
        </w:numPr>
        <w:pStyle w:val="Compact"/>
      </w:pPr>
      <w:r>
        <w:t xml:space="preserve">To quantify patient wait times, treatment outcomes, and socioeconomic barriers for ophthalmology services in public vs. private clinics across Brisbane.</w:t>
      </w:r>
    </w:p>
    <w:p>
      <w:pPr>
        <w:numPr>
          <w:ilvl w:val="0"/>
          <w:numId w:val="1001"/>
        </w:numPr>
        <w:pStyle w:val="Compact"/>
      </w:pPr>
      <w:r>
        <w:t xml:space="preserve">To evaluate the efficacy of teleophthalmology integration in reducing access disparities, specifically within Brisbane's underserved communities (e.g., Indigenous populations, low-income suburbs).</w:t>
      </w:r>
    </w:p>
    <w:p>
      <w:pPr>
        <w:numPr>
          <w:ilvl w:val="0"/>
          <w:numId w:val="1001"/>
        </w:numPr>
        <w:pStyle w:val="Compact"/>
      </w:pPr>
      <w:r>
        <w:t xml:space="preserve">To develop a predictive model forecasting ophthalmologist workforce needs for Brisbane through 2040 using demographic and disease burden projections.</w:t>
      </w:r>
    </w:p>
    <w:bookmarkEnd w:id="22"/>
    <w:bookmarkStart w:id="23" w:name="literature-review"/>
    <w:p>
      <w:pPr>
        <w:pStyle w:val="Heading2"/>
      </w:pPr>
      <w:r>
        <w:t xml:space="preserve">4. Literature Review</w:t>
      </w:r>
    </w:p>
    <w:p>
      <w:pPr>
        <w:pStyle w:val="FirstParagraph"/>
      </w:pPr>
      <w:r>
        <w:t xml:space="preserve">Existing Australian studies (e.g., *Medical Journal of Australia*, 2021) highlight rural ophthalmology shortages but neglect Brisbane's urban challenges. International models like Singapore’s centralized "Eye Health Hub" demonstrate a 35% reduction in wait times through integrated service delivery—a framework untested in Australian contexts. Crucially, no research has examined Brisbane-specific barriers since the 2019 Queensland Ophthalmology Workforce Report, which predates Brisbane’s population surge. This gap impedes evidence-based policymaking for Australia Brisbane, where urbanization patterns and socioeconomic diversity create unique service delivery challenges not addressed in national strategies.</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Analyzing Queensland Health’s public clinic databases (2020-2024) to map ophthalmologist density against population health data.</w:t>
      </w:r>
    </w:p>
    <w:p>
      <w:pPr>
        <w:numPr>
          <w:ilvl w:val="0"/>
          <w:numId w:val="1002"/>
        </w:numPr>
        <w:pStyle w:val="Compact"/>
      </w:pPr>
      <w:r>
        <w:t xml:space="preserve">Surveying 5,000 Brisbane residents via postal and digital channels to assess access barriers using a validated Ocular Care Access Scale.</w:t>
      </w:r>
    </w:p>
    <w:p>
      <w:pPr>
        <w:numPr>
          <w:ilvl w:val="0"/>
          <w:numId w:val="1002"/>
        </w:numPr>
        <w:pStyle w:val="Compact"/>
      </w:pPr>
      <w:r>
        <w:t xml:space="preserve">Collating wait time metrics from 15 public/private clinics across all Brisbane LGAs.</w:t>
      </w:r>
    </w:p>
    <w:bookmarkEnd w:id="24"/>
    <w:bookmarkStart w:id="25" w:name="X1a76fda07417f17ed6285235018f3f4fc0271e2"/>
    <w:p>
      <w:pPr>
        <w:pStyle w:val="Heading3"/>
      </w:pPr>
      <w:r>
        <w:t xml:space="preserve">Phase 2: Qualitative Assessment (Months 7-12)</w:t>
      </w:r>
    </w:p>
    <w:p>
      <w:pPr>
        <w:numPr>
          <w:ilvl w:val="0"/>
          <w:numId w:val="1003"/>
        </w:numPr>
        <w:pStyle w:val="Compact"/>
      </w:pPr>
      <w:r>
        <w:t xml:space="preserve">Conducting semi-structured interviews with 40 ophthalmologists, community health workers, and Indigenous Health Liaison Officers.</w:t>
      </w:r>
    </w:p>
    <w:p>
      <w:pPr>
        <w:numPr>
          <w:ilvl w:val="0"/>
          <w:numId w:val="1003"/>
        </w:numPr>
        <w:pStyle w:val="Compact"/>
      </w:pPr>
      <w:r>
        <w:t xml:space="preserve">Facilitating focus groups with patient advocacy groups (e.g., Vision Australia Brisbane Chapter) to explore cultural and socioeconomic barriers.</w:t>
      </w:r>
    </w:p>
    <w:bookmarkEnd w:id="25"/>
    <w:bookmarkStart w:id="26" w:name="X37590bbe74d8faa6b03a8a06ccbe37dcd4278b5"/>
    <w:p>
      <w:pPr>
        <w:pStyle w:val="Heading3"/>
      </w:pPr>
      <w:r>
        <w:t xml:space="preserve">Phase 3: Intervention Simulation (Months 13-18)</w:t>
      </w:r>
    </w:p>
    <w:p>
      <w:pPr>
        <w:numPr>
          <w:ilvl w:val="0"/>
          <w:numId w:val="1004"/>
        </w:numPr>
        <w:pStyle w:val="Compact"/>
      </w:pPr>
      <w:r>
        <w:t xml:space="preserve">Designing and testing a teleophthalmology pilot in partnership with the University of Queensland Centre for Eye Research.</w:t>
      </w:r>
    </w:p>
    <w:p>
      <w:pPr>
        <w:numPr>
          <w:ilvl w:val="0"/>
          <w:numId w:val="1004"/>
        </w:numPr>
        <w:pStyle w:val="Compact"/>
      </w:pPr>
      <w:r>
        <w:t xml:space="preserve">Using machine learning to develop the predictive model incorporating population growth, aging metrics, and disease epidemiology.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5"/>
        </w:numPr>
        <w:pStyle w:val="Compact"/>
      </w:pPr>
      <w:r>
        <w:rPr>
          <w:bCs/>
          <w:b/>
        </w:rPr>
        <w:t xml:space="preserve">Geospatial Service Mapping Tool:</w:t>
      </w:r>
      <w:r>
        <w:t xml:space="preserve"> </w:t>
      </w:r>
      <w:r>
        <w:t xml:space="preserve">A dynamic digital dashboard identifying Brisbane’s ophthalmology "hotspots" and "cold spots," enabling targeted workforce allocation.</w:t>
      </w:r>
    </w:p>
    <w:p>
      <w:pPr>
        <w:numPr>
          <w:ilvl w:val="0"/>
          <w:numId w:val="1005"/>
        </w:numPr>
        <w:pStyle w:val="Compact"/>
      </w:pPr>
      <w:r>
        <w:rPr>
          <w:bCs/>
          <w:b/>
        </w:rPr>
        <w:t xml:space="preserve">Evidence-Based Policy Framework:</w:t>
      </w:r>
      <w:r>
        <w:t xml:space="preserve"> </w:t>
      </w:r>
      <w:r>
        <w:t xml:space="preserve">Concrete recommendations for Queensland Health to reform service delivery, including telehealth integration protocols tailored for Brisbane's infrastructure.</w:t>
      </w:r>
    </w:p>
    <w:p>
      <w:pPr>
        <w:numPr>
          <w:ilvl w:val="0"/>
          <w:numId w:val="1005"/>
        </w:numPr>
        <w:pStyle w:val="Compact"/>
      </w:pPr>
      <w:r>
        <w:rPr>
          <w:bCs/>
          <w:b/>
        </w:rPr>
        <w:t xml:space="preserve">Socioeconomic Equity Index:</w:t>
      </w:r>
      <w:r>
        <w:t xml:space="preserve"> </w:t>
      </w:r>
      <w:r>
        <w:t xml:space="preserve">A metric quantifying access disparities, directly addressing Australia’s National Eye Health Plan (2021-2031) goals for Indigenous and low-income communities.</w:t>
      </w:r>
    </w:p>
    <w:p>
      <w:pPr>
        <w:numPr>
          <w:ilvl w:val="0"/>
          <w:numId w:val="1005"/>
        </w:numPr>
        <w:pStyle w:val="Compact"/>
      </w:pPr>
      <w:r>
        <w:rPr>
          <w:bCs/>
          <w:b/>
        </w:rPr>
        <w:t xml:space="preserve">Predictive Workforce Model:</w:t>
      </w:r>
      <w:r>
        <w:t xml:space="preserve"> </w:t>
      </w:r>
      <w:r>
        <w:t xml:space="preserve">A forecasting tool enabling Brisbane Health Services to plan ophthalmologist recruitment up to 15 years ahead of demand peaks.</w:t>
      </w:r>
    </w:p>
    <w:p>
      <w:pPr>
        <w:pStyle w:val="FirstParagraph"/>
      </w:pPr>
      <w:r>
        <w:t xml:space="preserve">The significance extends beyond Brisbane: as Australia’s fastest-growing capital city, its solutions will serve as a blueprint for other Australian metropolitan centers grappling with similar demographic pressures. Critically, this proposal addresses the Department of Health’s priority area #3—equitable access to specialist services—while directly supporting Queensland Health's 2024 Strategic Plan focus on "Optimizing Specialist Care Through Innovation."</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Planning &amp; Ethics Approval</w:t>
      </w:r>
    </w:p>
    <w:p>
      <w:pPr>
        <w:pStyle w:val="BodyText"/>
      </w:pPr>
      <w:r>
        <w:t xml:space="preserve">Month 1-2</w:t>
      </w:r>
    </w:p>
    <w:p>
      <w:pPr>
        <w:pStyle w:val="BodyText"/>
      </w:pPr>
      <w:r>
        <w:t xml:space="preserve">IRB approval, tool design, stakeholder mapping</w:t>
      </w:r>
    </w:p>
    <w:p>
      <w:pPr>
        <w:pStyle w:val="BodyText"/>
      </w:pPr>
      <w:r>
        <w:t xml:space="preserve">Data Collection (Quantitative)</w:t>
      </w:r>
    </w:p>
    <w:p>
      <w:pPr>
        <w:pStyle w:val="BodyText"/>
      </w:pPr>
      <w:r>
        <w:t xml:space="preserve">Month 3-6</w:t>
      </w:r>
    </w:p>
    <w:p>
      <w:pPr>
        <w:pStyle w:val="BodyText"/>
      </w:pPr>
      <w:r>
        <w:t xml:space="preserve">Survey completion; GIS service mapping</w:t>
      </w:r>
    </w:p>
    <w:p>
      <w:pPr>
        <w:pStyle w:val="BodyText"/>
      </w:pPr>
      <w:r>
        <w:t xml:space="preserve">Data Collection (Qualitative)</w:t>
      </w:r>
    </w:p>
    <w:p>
      <w:pPr>
        <w:pStyle w:val="BodyText"/>
      </w:pPr>
      <w:r>
        <w:t xml:space="preserve">Month 7-10</w:t>
      </w:r>
    </w:p>
    <w:p>
      <w:pPr>
        <w:pStyle w:val="BodyText"/>
      </w:pPr>
      <w:r>
        <w:t xml:space="preserve">Interview transcripts; focus group reports</w:t>
      </w:r>
    </w:p>
    <w:p>
      <w:pPr>
        <w:pStyle w:val="BodyText"/>
      </w:pPr>
      <w:r>
        <w:t xml:space="preserve">Model Development &amp; Pilot Testing</w:t>
      </w:r>
    </w:p>
    <w:p>
      <w:pPr>
        <w:pStyle w:val="BodyText"/>
      </w:pPr>
      <w:r>
        <w:t xml:space="preserve">Month 11-15</w:t>
      </w:r>
    </w:p>
    <w:p>
      <w:pPr>
        <w:pStyle w:val="BodyText"/>
      </w:pPr>
      <w:r>
        <w:t xml:space="preserve">Predictive model; telehealth pilot outcomes report</w:t>
      </w:r>
    </w:p>
    <w:p>
      <w:pPr>
        <w:pStyle w:val="BodyText"/>
      </w:pPr>
      <w:r>
        <w:t xml:space="preserve">Final Policy Recommendations Document (Month 16-18)</w:t>
      </w:r>
    </w:p>
    <w:bookmarkEnd w:id="29"/>
    <w:bookmarkStart w:id="30" w:name="budget-overview"/>
    <w:p>
      <w:pPr>
        <w:pStyle w:val="Heading2"/>
      </w:pPr>
      <w:r>
        <w:t xml:space="preserve">8. Budget Overview</w:t>
      </w:r>
    </w:p>
    <w:p>
      <w:pPr>
        <w:pStyle w:val="FirstParagraph"/>
      </w:pPr>
      <w:r>
        <w:t xml:space="preserve">Requested funding: $175,000 (fully allocated to Brisbane-based resources). Key allocations include:</w:t>
      </w:r>
    </w:p>
    <w:p>
      <w:pPr>
        <w:numPr>
          <w:ilvl w:val="0"/>
          <w:numId w:val="1006"/>
        </w:numPr>
        <w:pStyle w:val="Compact"/>
      </w:pPr>
      <w:r>
        <w:t xml:space="preserve">$65,000: Research coordinator + data analyst salaries (Brisbane-based)</w:t>
      </w:r>
    </w:p>
    <w:p>
      <w:pPr>
        <w:numPr>
          <w:ilvl w:val="0"/>
          <w:numId w:val="1006"/>
        </w:numPr>
        <w:pStyle w:val="Compact"/>
      </w:pPr>
      <w:r>
        <w:t xml:space="preserve">$45,000: Patient survey distribution and translation services</w:t>
      </w:r>
    </w:p>
    <w:p>
      <w:pPr>
        <w:numPr>
          <w:ilvl w:val="0"/>
          <w:numId w:val="1006"/>
        </w:numPr>
        <w:pStyle w:val="Compact"/>
      </w:pPr>
      <w:r>
        <w:t xml:space="preserve">$35,000: Teleophthalmology platform licensing (partnering with Queensland Health)</w:t>
      </w:r>
    </w:p>
    <w:p>
      <w:pPr>
        <w:numPr>
          <w:ilvl w:val="0"/>
          <w:numId w:val="1006"/>
        </w:numPr>
        <w:pStyle w:val="Compact"/>
      </w:pPr>
      <w:r>
        <w:t xml:space="preserve">$25,000: Community engagement workshops across Brisbane LGAs</w:t>
      </w:r>
    </w:p>
    <w:p>
      <w:pPr>
        <w:numPr>
          <w:ilvl w:val="0"/>
          <w:numId w:val="1006"/>
        </w:numPr>
        <w:pStyle w:val="Compact"/>
      </w:pPr>
      <w:r>
        <w:t xml:space="preserve">$5,000: Policy brief development for Queensland Health</w:t>
      </w:r>
    </w:p>
    <w:bookmarkEnd w:id="30"/>
    <w:bookmarkStart w:id="31" w:name="conclusion"/>
    <w:p>
      <w:pPr>
        <w:pStyle w:val="Heading2"/>
      </w:pPr>
      <w:r>
        <w:t xml:space="preserve">9. Conclusion</w:t>
      </w:r>
    </w:p>
    <w:p>
      <w:pPr>
        <w:pStyle w:val="FirstParagraph"/>
      </w:pPr>
      <w:r>
        <w:t xml:space="preserve">In Australia Brisbane, the convergence of rapid population growth and rising prevalence of sight-threatening conditions demands immediate innovation in ophthalmologist service delivery. This Research Proposal transcends standard academic inquiry by centering solutions on Brisbane's unique urban fabric—its socioeconomic diversity, geographic spread, and healthcare infrastructure. By transforming raw data into actionable policy tools, this project will position Brisbane as a national leader in evidence-based eye care planning. The outcomes will directly inform Queensland Health’s strategic workforce investments while generating replicable models for other Australian cities facing similar demographic pressures. Ultimately, this research promises not just to optimize ophthalmologist utilization but to prevent thousands of avoidable vision losses across our communities, fulfilling Australia's commitment to "Every Vision Counts" in the Brisbane context.</w:t>
      </w:r>
    </w:p>
    <w:bookmarkEnd w:id="31"/>
    <w:bookmarkStart w:id="32" w:name="references"/>
    <w:p>
      <w:pPr>
        <w:pStyle w:val="Heading2"/>
      </w:pPr>
      <w:r>
        <w:t xml:space="preserve">References</w:t>
      </w:r>
    </w:p>
    <w:p>
      <w:pPr>
        <w:numPr>
          <w:ilvl w:val="0"/>
          <w:numId w:val="1007"/>
        </w:numPr>
        <w:pStyle w:val="Compact"/>
      </w:pPr>
      <w:r>
        <w:t xml:space="preserve">Queensland Health. (2023). *Ophthalmology Workforce Analysis Report*. Brisbane: Queensland Government.</w:t>
      </w:r>
    </w:p>
    <w:p>
      <w:pPr>
        <w:numPr>
          <w:ilvl w:val="0"/>
          <w:numId w:val="1007"/>
        </w:numPr>
        <w:pStyle w:val="Compact"/>
      </w:pPr>
      <w:r>
        <w:t xml:space="preserve">Australian Institute of Health and Welfare. (2021). *Eye Health in Australia: Key Indicators 2019-20*. Canberra: AIHW.</w:t>
      </w:r>
    </w:p>
    <w:p>
      <w:pPr>
        <w:numPr>
          <w:ilvl w:val="0"/>
          <w:numId w:val="1007"/>
        </w:numPr>
        <w:pStyle w:val="Compact"/>
      </w:pPr>
      <w:r>
        <w:t xml:space="preserve">Smith, J. et al. (2023). "Teleophthalmology Effectiveness in Urban Settings." *Medical Journal of Australia*, 218(7), pp. 315-320.</w:t>
      </w:r>
    </w:p>
    <w:p>
      <w:pPr>
        <w:numPr>
          <w:ilvl w:val="0"/>
          <w:numId w:val="1007"/>
        </w:numPr>
        <w:pStyle w:val="Compact"/>
      </w:pPr>
      <w:r>
        <w:t xml:space="preserve">Queensland Government. (2024). *National Eye Health Plan: Queensland Implementation Framework*.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Ophthalmology Services in Brisbane, Australia</dc:title>
  <dc:creator/>
  <dc:language>en</dc:language>
  <cp:keywords/>
  <dcterms:created xsi:type="dcterms:W3CDTF">2026-07-21T16:56:20Z</dcterms:created>
  <dcterms:modified xsi:type="dcterms:W3CDTF">2026-07-21T16:56:20Z</dcterms:modified>
</cp:coreProperties>
</file>

<file path=docProps/custom.xml><?xml version="1.0" encoding="utf-8"?>
<Properties xmlns="http://schemas.openxmlformats.org/officeDocument/2006/custom-properties" xmlns:vt="http://schemas.openxmlformats.org/officeDocument/2006/docPropsVTypes"/>
</file>