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Australia</w:t>
      </w:r>
      <w:r>
        <w:t xml:space="preserve"> </w:t>
      </w:r>
      <w:r>
        <w:t xml:space="preserve">Melbourne</w:t>
      </w:r>
    </w:p>
    <w:bookmarkStart w:id="33" w:name="X6026e526241c1dc5f15536436ca69595cea698d"/>
    <w:p>
      <w:pPr>
        <w:pStyle w:val="Heading1"/>
      </w:pPr>
      <w:r>
        <w:t xml:space="preserve">Research Proposal: Optimizing Ophthalmologist Workforce Distribution and Teleophthalmology Integration in Australia Melbourne</w:t>
      </w:r>
    </w:p>
    <w:bookmarkStart w:id="20" w:name="introduction"/>
    <w:p>
      <w:pPr>
        <w:pStyle w:val="Heading2"/>
      </w:pPr>
      <w:r>
        <w:t xml:space="preserve">1. Introduction</w:t>
      </w:r>
    </w:p>
    <w:p>
      <w:pPr>
        <w:pStyle w:val="FirstParagraph"/>
      </w:pPr>
      <w:r>
        <w:t xml:space="preserve">The healthcare landscape in Australia Melbourne faces significant challenges in ophthalmic care access, particularly for rural and underserved urban populations. With an aging population projected to increase age-related eye conditions by 35% by 2030 (Australian Institute of Health and Welfare, 2023), the demand for specialized ophthalmologist services is escalating. This</w:t>
      </w:r>
      <w:r>
        <w:t xml:space="preserve"> </w:t>
      </w:r>
      <w:r>
        <w:rPr>
          <w:bCs/>
          <w:b/>
        </w:rPr>
        <w:t xml:space="preserve">Research Proposal</w:t>
      </w:r>
      <w:r>
        <w:t xml:space="preserve"> </w:t>
      </w:r>
      <w:r>
        <w:t xml:space="preserve">addresses critical gaps in workforce distribution and digital health integration within Melbourne's ophthalmology sector. As one of Australia's most populous metropolitan centers with over 5 million residents, Melbourne exemplifies the national tension between urban medical concentration and rural care deficits. Our study will investigate innovative models to enhance ophthalmologist efficiency while ensuring equitable access across Greater Melbourne.</w:t>
      </w:r>
    </w:p>
    <w:bookmarkEnd w:id="20"/>
    <w:bookmarkStart w:id="21" w:name="problem-statement"/>
    <w:p>
      <w:pPr>
        <w:pStyle w:val="Heading2"/>
      </w:pPr>
      <w:r>
        <w:t xml:space="preserve">2. Problem Statement</w:t>
      </w:r>
    </w:p>
    <w:p>
      <w:pPr>
        <w:pStyle w:val="FirstParagraph"/>
      </w:pPr>
      <w:r>
        <w:t xml:space="preserve">Currently, 68% of Australia's ophthalmologists are concentrated in metropolitan areas (RANZCO, 2023), creating severe disparities for Melbourne's outer suburbs and regional Victoria. Patients in Western Melbourne experience average wait times of 14 weeks for specialist consultations compared to 6 weeks in inner-city clinics—a gap that exacerbates sight-threatening conditions like diabetic retinopathy. This inequity is compounded by Australia's unique geography: while Melbourne hosts major teaching hospitals (e.g., Royal Victorian Eye and Ear Hospital), remote communities require teleophthalmology solutions not yet systematically implemented. The absence of data-driven workforce models for ophthalmologists in</w:t>
      </w:r>
      <w:r>
        <w:t xml:space="preserve"> </w:t>
      </w:r>
      <w:r>
        <w:rPr>
          <w:bCs/>
          <w:b/>
        </w:rPr>
        <w:t xml:space="preserve">Australia Melbourne</w:t>
      </w:r>
      <w:r>
        <w:t xml:space="preserve"> </w:t>
      </w:r>
      <w:r>
        <w:t xml:space="preserve">directly impacts health outcomes, with Vision Australia reporting 15% higher vision loss rates in underserved Melbourne regions.</w:t>
      </w:r>
    </w:p>
    <w:bookmarkEnd w:id="21"/>
    <w:bookmarkStart w:id="22" w:name="research-objectives"/>
    <w:p>
      <w:pPr>
        <w:pStyle w:val="Heading2"/>
      </w:pPr>
      <w:r>
        <w:t xml:space="preserve">3. Research Objectives</w:t>
      </w:r>
    </w:p>
    <w:p>
      <w:pPr>
        <w:numPr>
          <w:ilvl w:val="0"/>
          <w:numId w:val="1001"/>
        </w:numPr>
        <w:pStyle w:val="Compact"/>
      </w:pPr>
      <w:r>
        <w:t xml:space="preserve">To map current ophthalmologist distribution against population density and disease burden across all Melbourne Local Government Areas (LGAs)</w:t>
      </w:r>
    </w:p>
    <w:p>
      <w:pPr>
        <w:numPr>
          <w:ilvl w:val="0"/>
          <w:numId w:val="1001"/>
        </w:numPr>
        <w:pStyle w:val="Compact"/>
      </w:pPr>
      <w:r>
        <w:t xml:space="preserve">To evaluate the efficacy of teleophthalmology platforms in reducing wait times for diabetic retinopathy screening in Melbourne's western suburbs</w:t>
      </w:r>
    </w:p>
    <w:p>
      <w:pPr>
        <w:numPr>
          <w:ilvl w:val="0"/>
          <w:numId w:val="1001"/>
        </w:numPr>
        <w:pStyle w:val="Compact"/>
      </w:pPr>
      <w:r>
        <w:t xml:space="preserve">To develop a predictive model forecasting future ophthalmologist workforce needs using demographic and clinical data</w:t>
      </w:r>
    </w:p>
    <w:p>
      <w:pPr>
        <w:numPr>
          <w:ilvl w:val="0"/>
          <w:numId w:val="1001"/>
        </w:numPr>
        <w:pStyle w:val="Compact"/>
      </w:pPr>
      <w:r>
        <w:t xml:space="preserve">To co-design with local health networks a sustainable "hub-and-spoke" teleophthalmology framework for Melbourne</w:t>
      </w:r>
    </w:p>
    <w:bookmarkEnd w:id="22"/>
    <w:bookmarkStart w:id="23" w:name="literature-review-key-gaps"/>
    <w:p>
      <w:pPr>
        <w:pStyle w:val="Heading2"/>
      </w:pPr>
      <w:r>
        <w:t xml:space="preserve">4. Literature Review (Key Gaps)</w:t>
      </w:r>
    </w:p>
    <w:p>
      <w:pPr>
        <w:pStyle w:val="FirstParagraph"/>
      </w:pPr>
      <w:r>
        <w:t xml:space="preserve">Existing Australian studies (e.g., Kedhar et al., 2021) confirm workforce maldistribution but lack granular analysis of Melbourne-specific patterns. International models (e.g., Singapore's teleophthalmology program) show 40% reduced wait times, yet adaptation to Australia's Medicare system requires context-specific research. Crucially, no prior study has integrated geographic information systems (GIS) with real-time ophthalmologist scheduling data in an Australian urban setting. This gap is critical as Melbourne undergoes rapid population growth—adding over 50,000 residents annually in outer suburbs where ophthalmologist-to-population ratios are 2.3× lower than inner-city areas.</w:t>
      </w:r>
    </w:p>
    <w:bookmarkEnd w:id="23"/>
    <w:bookmarkStart w:id="27" w:name="methodology"/>
    <w:p>
      <w:pPr>
        <w:pStyle w:val="Heading2"/>
      </w:pPr>
      <w:r>
        <w:t xml:space="preserve">5. Methodology</w:t>
      </w:r>
    </w:p>
    <w:bookmarkStart w:id="24" w:name="phase-1-data-collection-months-1-4"/>
    <w:p>
      <w:pPr>
        <w:pStyle w:val="Heading3"/>
      </w:pPr>
      <w:r>
        <w:t xml:space="preserve">Phase 1: Data Collection (Months 1-4)</w:t>
      </w:r>
    </w:p>
    <w:p>
      <w:pPr>
        <w:numPr>
          <w:ilvl w:val="0"/>
          <w:numId w:val="1002"/>
        </w:numPr>
        <w:pStyle w:val="Compact"/>
      </w:pPr>
      <w:r>
        <w:rPr>
          <w:bCs/>
          <w:b/>
        </w:rPr>
        <w:t xml:space="preserve">Ophthalmologist Mapping:</w:t>
      </w:r>
      <w:r>
        <w:t xml:space="preserve"> </w:t>
      </w:r>
      <w:r>
        <w:t xml:space="preserve">Collaborate with Victorian Department of Health to obtain geocoded data on all registered ophthalmologists across Melbourne, cross-referenced with Medicare billing records and population heatmaps from ABS Census 2021</w:t>
      </w:r>
    </w:p>
    <w:p>
      <w:pPr>
        <w:numPr>
          <w:ilvl w:val="0"/>
          <w:numId w:val="1002"/>
        </w:numPr>
        <w:pStyle w:val="Compact"/>
      </w:pPr>
      <w:r>
        <w:rPr>
          <w:bCs/>
          <w:b/>
        </w:rPr>
        <w:t xml:space="preserve">Disease Burden Analysis:</w:t>
      </w:r>
      <w:r>
        <w:t xml:space="preserve"> </w:t>
      </w:r>
      <w:r>
        <w:t xml:space="preserve">Partner with Royal Melbourne Hospital to extract anonymized clinical data (n=50,000 patients) on prevalent conditions (cataracts, AMD, diabetic retinopathy) by suburb</w:t>
      </w:r>
    </w:p>
    <w:bookmarkEnd w:id="24"/>
    <w:bookmarkStart w:id="25" w:name="phase-2-intervention-study-months-5-10"/>
    <w:p>
      <w:pPr>
        <w:pStyle w:val="Heading3"/>
      </w:pPr>
      <w:r>
        <w:t xml:space="preserve">Phase 2: Intervention Study (Months 5-10)</w:t>
      </w:r>
    </w:p>
    <w:p>
      <w:pPr>
        <w:numPr>
          <w:ilvl w:val="0"/>
          <w:numId w:val="1003"/>
        </w:numPr>
        <w:pStyle w:val="Compact"/>
      </w:pPr>
      <w:r>
        <w:rPr>
          <w:bCs/>
          <w:b/>
        </w:rPr>
        <w:t xml:space="preserve">Teleophthalmology Pilot:</w:t>
      </w:r>
      <w:r>
        <w:t xml:space="preserve"> </w:t>
      </w:r>
      <w:r>
        <w:t xml:space="preserve">Implement a low-cost AI-assisted retinal screening system at 5 community health centers in Melbourne's outer western LGAs (e.g., Brimbank, Hume). Ophthalmologists from Royal Victorian Eye and Ear Hospital will review images via secure platform, comparing wait times to traditional models</w:t>
      </w:r>
    </w:p>
    <w:p>
      <w:pPr>
        <w:numPr>
          <w:ilvl w:val="0"/>
          <w:numId w:val="1003"/>
        </w:numPr>
        <w:pStyle w:val="Compact"/>
      </w:pPr>
      <w:r>
        <w:rPr>
          <w:bCs/>
          <w:b/>
        </w:rPr>
        <w:t xml:space="preserve">Stakeholder Workshops:</w:t>
      </w:r>
      <w:r>
        <w:t xml:space="preserve"> </w:t>
      </w:r>
      <w:r>
        <w:t xml:space="preserve">Facilitate co-design sessions with 30+ ophthalmologists from Melbourne's public/private networks to refine workflow integration</w:t>
      </w:r>
    </w:p>
    <w:bookmarkEnd w:id="25"/>
    <w:bookmarkStart w:id="26" w:name="X951b8726d437e7d97931018eb690073ddc17522"/>
    <w:p>
      <w:pPr>
        <w:pStyle w:val="Heading3"/>
      </w:pPr>
      <w:r>
        <w:t xml:space="preserve">Phase 3: Modeling &amp; Policy Framework (Months 11-18)</w:t>
      </w:r>
    </w:p>
    <w:p>
      <w:pPr>
        <w:numPr>
          <w:ilvl w:val="0"/>
          <w:numId w:val="1004"/>
        </w:numPr>
        <w:pStyle w:val="Compact"/>
      </w:pPr>
      <w:r>
        <w:rPr>
          <w:bCs/>
          <w:b/>
        </w:rPr>
        <w:t xml:space="preserve">Predictive Analytics:</w:t>
      </w:r>
      <w:r>
        <w:t xml:space="preserve"> </w:t>
      </w:r>
      <w:r>
        <w:t xml:space="preserve">Develop machine learning model using historical data to forecast ophthalmologist demand per LGA, factoring in aging trends and diabetes prevalence</w:t>
      </w:r>
    </w:p>
    <w:p>
      <w:pPr>
        <w:numPr>
          <w:ilvl w:val="0"/>
          <w:numId w:val="1004"/>
        </w:numPr>
        <w:pStyle w:val="Compact"/>
      </w:pPr>
      <w:r>
        <w:rPr>
          <w:bCs/>
          <w:b/>
        </w:rPr>
        <w:t xml:space="preserve">Policy Blueprint:</w:t>
      </w:r>
      <w:r>
        <w:t xml:space="preserve"> </w:t>
      </w:r>
      <w:r>
        <w:t xml:space="preserve">Create evidence-based recommendations for Victorian Health Minister on workforce allocation and telehealth funding</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publicly accessible Melbourne Ophthalmologist Atlas showing real-time workforce gaps (critical for planning new clinics)</w:t>
      </w:r>
    </w:p>
    <w:p>
      <w:pPr>
        <w:numPr>
          <w:ilvl w:val="0"/>
          <w:numId w:val="1005"/>
        </w:numPr>
        <w:pStyle w:val="Compact"/>
      </w:pPr>
      <w:r>
        <w:t xml:space="preserve">Clinical evidence that teleophthalmology can reduce wait times by ≥30% in outer Melbourne suburbs, with cost-benefit analysis for Victorian Health</w:t>
      </w:r>
    </w:p>
    <w:p>
      <w:pPr>
        <w:numPr>
          <w:ilvl w:val="0"/>
          <w:numId w:val="1005"/>
        </w:numPr>
        <w:pStyle w:val="Compact"/>
      </w:pPr>
      <w:r>
        <w:t xml:space="preserve">A scalable "hub-and-spoke" model adopted by at least 3 Melbourne health networks (e.g., Eastern Health, Northern Health)</w:t>
      </w:r>
    </w:p>
    <w:p>
      <w:pPr>
        <w:numPr>
          <w:ilvl w:val="0"/>
          <w:numId w:val="1005"/>
        </w:numPr>
        <w:pStyle w:val="Compact"/>
      </w:pPr>
      <w:r>
        <w:t xml:space="preserve">Policy recommendations directly influencing the Victorian Government's Ophthalmology Workforce Strategy 2030</w:t>
      </w:r>
    </w:p>
    <w:p>
      <w:pPr>
        <w:pStyle w:val="FirstParagraph"/>
      </w:pPr>
      <w:r>
        <w:t xml:space="preserve">The significance extends nationally: as Melbourne represents Australia's urban healthcare microcosm, findings will inform federal health policy. By focusing on the ophthalmologist shortage—a critical bottleneck in Australia's eye health system—this project addresses WHO targets for universal access to quality eye care by 2030. Importantly, it aligns with Victoria's 2025 Primary Health Network Strategy prioritizing digital solutions for regional equity.</w:t>
      </w:r>
    </w:p>
    <w:bookmarkEnd w:id="28"/>
    <w:bookmarkStart w:id="29" w:name="ethical-considerations-partnerships"/>
    <w:p>
      <w:pPr>
        <w:pStyle w:val="Heading2"/>
      </w:pPr>
      <w:r>
        <w:t xml:space="preserve">7. Ethical Considerations &amp; Partnerships</w:t>
      </w:r>
    </w:p>
    <w:p>
      <w:pPr>
        <w:pStyle w:val="FirstParagraph"/>
      </w:pPr>
      <w:r>
        <w:t xml:space="preserve">All data will be anonymized per NHMRC guidelines. Key partners include:</w:t>
      </w:r>
    </w:p>
    <w:p>
      <w:pPr>
        <w:numPr>
          <w:ilvl w:val="0"/>
          <w:numId w:val="1006"/>
        </w:numPr>
        <w:pStyle w:val="Compact"/>
      </w:pPr>
      <w:r>
        <w:t xml:space="preserve">Royal Victorian Eye and Ear Hospital (lead clinical partner)</w:t>
      </w:r>
    </w:p>
    <w:p>
      <w:pPr>
        <w:numPr>
          <w:ilvl w:val="0"/>
          <w:numId w:val="1006"/>
        </w:numPr>
        <w:pStyle w:val="Compact"/>
      </w:pPr>
      <w:r>
        <w:t xml:space="preserve">University of Melbourne Department of Ophthalmology (methodological support)</w:t>
      </w:r>
    </w:p>
    <w:p>
      <w:pPr>
        <w:numPr>
          <w:ilvl w:val="0"/>
          <w:numId w:val="1006"/>
        </w:numPr>
        <w:pStyle w:val="Compact"/>
      </w:pPr>
      <w:r>
        <w:t xml:space="preserve">Victorian Department of Health (data access &amp; policy pathway)</w:t>
      </w:r>
    </w:p>
    <w:p>
      <w:pPr>
        <w:numPr>
          <w:ilvl w:val="0"/>
          <w:numId w:val="1006"/>
        </w:numPr>
        <w:pStyle w:val="Compact"/>
      </w:pPr>
      <w:r>
        <w:t xml:space="preserve">Community Vision Australia for patient advocacy representation</w:t>
      </w:r>
    </w:p>
    <w:bookmarkEnd w:id="29"/>
    <w:bookmarkStart w:id="30" w:name="timeline-budget-overview"/>
    <w:p>
      <w:pPr>
        <w:pStyle w:val="Heading2"/>
      </w:pPr>
      <w:r>
        <w:t xml:space="preserve">8.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Data Collection &amp; Mapping</w:t>
            </w:r>
          </w:p>
        </w:tc>
        <w:tc>
          <w:tcPr/>
          <w:p>
            <w:pPr>
              <w:pStyle w:val="Compact"/>
              <w:jc w:val="left"/>
            </w:pPr>
            <w:r>
              <w:t xml:space="preserve">4 months</w:t>
            </w:r>
          </w:p>
        </w:tc>
        <w:tc>
          <w:tcPr/>
          <w:p>
            <w:pPr>
              <w:pStyle w:val="Compact"/>
              <w:jc w:val="left"/>
            </w:pPr>
            <w:r>
              <w:t xml:space="preserve">$85,000</w:t>
            </w:r>
          </w:p>
        </w:tc>
      </w:tr>
      <w:tr>
        <w:tc>
          <w:tcPr/>
          <w:p>
            <w:pPr>
              <w:pStyle w:val="Compact"/>
              <w:jc w:val="left"/>
            </w:pPr>
            <w:r>
              <w:t xml:space="preserve">Teleophthalmology Pilot Implementation</w:t>
            </w:r>
          </w:p>
        </w:tc>
        <w:tc>
          <w:tcPr/>
          <w:p>
            <w:pPr>
              <w:pStyle w:val="Compact"/>
              <w:jc w:val="left"/>
            </w:pPr>
            <w:r>
              <w:t xml:space="preserve">6 months</w:t>
            </w:r>
          </w:p>
        </w:tc>
        <w:tc>
          <w:tcPr/>
          <w:p>
            <w:pPr>
              <w:pStyle w:val="Compact"/>
              <w:jc w:val="left"/>
            </w:pPr>
            <w:r>
              <w:t xml:space="preserve">$192,000 (including AI software licensing)</w:t>
            </w:r>
          </w:p>
        </w:tc>
      </w:tr>
      <w:tr>
        <w:tc>
          <w:tcPr/>
          <w:p>
            <w:pPr>
              <w:pStyle w:val="Compact"/>
              <w:jc w:val="left"/>
            </w:pPr>
            <w:r>
              <w:t xml:space="preserve">Data Analysis &amp; Model Development</w:t>
            </w:r>
          </w:p>
        </w:tc>
        <w:tc>
          <w:tcPr/>
          <w:p>
            <w:pPr>
              <w:pStyle w:val="Compact"/>
              <w:jc w:val="left"/>
            </w:pPr>
            <w:r>
              <w:t xml:space="preserve">8 months</w:t>
            </w:r>
          </w:p>
        </w:tc>
        <w:tc>
          <w:tcPr/>
          <w:p>
            <w:pPr>
              <w:pStyle w:val="Compact"/>
              <w:jc w:val="left"/>
            </w:pPr>
            <w:r>
              <w:t xml:space="preserve">$145,000</w:t>
            </w:r>
          </w:p>
        </w:tc>
      </w:tr>
      <w:tr>
        <w:tc>
          <w:tcPr/>
          <w:p>
            <w:pPr>
              <w:pStyle w:val="Compact"/>
              <w:jc w:val="left"/>
            </w:pPr>
            <w:r>
              <w:t xml:space="preserve">Total Project Cost</w:t>
            </w:r>
          </w:p>
        </w:tc>
        <w:tc>
          <w:tcPr/>
          <w:p>
            <w:pPr>
              <w:pStyle w:val="Compact"/>
              <w:jc w:val="left"/>
            </w:pPr>
            <w:r>
              <w:t xml:space="preserve">18 months</w:t>
            </w:r>
          </w:p>
        </w:tc>
        <w:tc>
          <w:tcPr/>
          <w:p>
            <w:pPr>
              <w:pStyle w:val="Compact"/>
              <w:jc w:val="left"/>
            </w:pPr>
            <w:r>
              <w:rPr>
                <w:bCs/>
                <w:b/>
              </w:rPr>
              <w:t xml:space="preserve">$422,000</w:t>
            </w:r>
          </w:p>
        </w:tc>
      </w:tr>
    </w:tbl>
    <w:bookmarkEnd w:id="30"/>
    <w:bookmarkStart w:id="31" w:name="conclusion-the-melbourne-imperative"/>
    <w:p>
      <w:pPr>
        <w:pStyle w:val="Heading2"/>
      </w:pPr>
      <w:r>
        <w:t xml:space="preserve">9. Conclusion: The Melbourne Imperative</w:t>
      </w:r>
    </w:p>
    <w:p>
      <w:pPr>
        <w:pStyle w:val="FirstParagraph"/>
      </w:pPr>
      <w:r>
        <w:t xml:space="preserve">In an era where Australia's population growth and aging demographics intensify pressure on ophthalmologist services, this research is urgently needed. As the largest city in Australia, Melbourne must pioneer equitable eye care solutions that prevent vision loss while optimizing scarce specialist resources. This</w:t>
      </w:r>
      <w:r>
        <w:t xml:space="preserve"> </w:t>
      </w:r>
      <w:r>
        <w:rPr>
          <w:bCs/>
          <w:b/>
        </w:rPr>
        <w:t xml:space="preserve">Research Proposal</w:t>
      </w:r>
      <w:r>
        <w:t xml:space="preserve"> </w:t>
      </w:r>
      <w:r>
        <w:t xml:space="preserve">positions Melbourne as a global leader in ophthalmological innovation—demonstrating how strategic workforce planning and telehealth integration can transform access for millions across Australia. By focusing on the specific needs of</w:t>
      </w:r>
      <w:r>
        <w:t xml:space="preserve"> </w:t>
      </w:r>
      <w:r>
        <w:rPr>
          <w:bCs/>
          <w:b/>
        </w:rPr>
        <w:t xml:space="preserve">Australia Melbourne</w:t>
      </w:r>
      <w:r>
        <w:t xml:space="preserve">, we create a replicable blueprint for cities nationwide, ensuring that every patient, regardless of postcode, receives timely care from an Australian-qualified ophthalmologist.</w:t>
      </w:r>
    </w:p>
    <w:bookmarkEnd w:id="31"/>
    <w:bookmarkStart w:id="32" w:name="references-selected"/>
    <w:p>
      <w:pPr>
        <w:pStyle w:val="Heading2"/>
      </w:pPr>
      <w:r>
        <w:t xml:space="preserve">10. References (Selected)</w:t>
      </w:r>
    </w:p>
    <w:p>
      <w:pPr>
        <w:pStyle w:val="FirstParagraph"/>
      </w:pPr>
      <w:r>
        <w:t xml:space="preserve">Australian Institute of Health and Welfare. (2023). *Eye Health in Australia*. Canberra: AIHW.</w:t>
      </w:r>
      <w:r>
        <w:br/>
      </w:r>
      <w:r>
        <w:t xml:space="preserve">RANZCO. (2023). *Ophthalmology Workforce Report 2023*. Australian and New Zealand College of Ophthalmologists.</w:t>
      </w:r>
      <w:r>
        <w:br/>
      </w:r>
      <w:r>
        <w:t xml:space="preserve">Kedhar, S.R., et al. (2021). "Geographic Access to Ophthalmology in Rural Australia." *Medical Journal of Australia*, 215(8), pp. 394-400.</w:t>
      </w:r>
      <w:r>
        <w:br/>
      </w:r>
      <w:r>
        <w:t xml:space="preserve">Vision Australia. (2023). *Melbourne Eye Health Disparities Report*. Melbourne: Vision Australia.</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Australia Melbourne</dc:title>
  <dc:creator/>
  <dc:language>en</dc:language>
  <cp:keywords/>
  <dcterms:created xsi:type="dcterms:W3CDTF">2026-07-23T09:41:09Z</dcterms:created>
  <dcterms:modified xsi:type="dcterms:W3CDTF">2026-07-23T09:41:09Z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