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Ocular</w:t>
      </w:r>
      <w:r>
        <w:t xml:space="preserve"> </w:t>
      </w:r>
      <w:r>
        <w:t xml:space="preserve">Healthcare</w:t>
      </w:r>
      <w:r>
        <w:t xml:space="preserve"> </w:t>
      </w:r>
      <w:r>
        <w:t xml:space="preserve">in</w:t>
      </w:r>
      <w:r>
        <w:t xml:space="preserve"> </w:t>
      </w:r>
      <w:r>
        <w:t xml:space="preserve">Australia</w:t>
      </w:r>
      <w:r>
        <w:t xml:space="preserve"> </w:t>
      </w:r>
      <w:r>
        <w:t xml:space="preserve">Sydney</w:t>
      </w:r>
    </w:p>
    <w:bookmarkStart w:id="32" w:name="X8e3b56d6c79dcb64abb9d2f00dc5cc0de063546"/>
    <w:p>
      <w:pPr>
        <w:pStyle w:val="Heading1"/>
      </w:pPr>
      <w:r>
        <w:t xml:space="preserve">Research Proposal: Development of a Tele-Ophthalmology Framework for Early Diabetic Retinopathy Detection in Australia Sydney</w:t>
      </w:r>
    </w:p>
    <w:bookmarkStart w:id="20" w:name="introduction-and-contextual-significance"/>
    <w:p>
      <w:pPr>
        <w:pStyle w:val="Heading2"/>
      </w:pPr>
      <w:r>
        <w:t xml:space="preserve">1. Introduction and Contextual Significance</w:t>
      </w:r>
    </w:p>
    <w:p>
      <w:pPr>
        <w:pStyle w:val="FirstParagraph"/>
      </w:pPr>
      <w:r>
        <w:t xml:space="preserve">The field of ophthalmology faces unprecedented challenges in Australia, particularly within the densely populated urban environment of Sydney. With an aging population and rising diabetes prevalence, the demand for specialized eye care has surged beyond current capacity. This Research Proposal addresses a critical gap in ophthalmic services through an innovative telemedicine framework designed specifically for Australia Sydney's diverse demographic landscape. As an Ophthalmologist committed to advancing clinical practice, I propose developing a scalable model for early diabetic retinopathy (DR) detection that leverages digital health technologies while respecting the unique healthcare infrastructure of New South Wales. The significance of this research cannot be overstated: DR is projected to affect over 350,000 Australians by 2035, with Sydney's multicultural communities facing disproportionate barriers to timely diagnosis and treatment.</w:t>
      </w:r>
    </w:p>
    <w:bookmarkEnd w:id="20"/>
    <w:bookmarkStart w:id="21" w:name="background-and-rationale"/>
    <w:p>
      <w:pPr>
        <w:pStyle w:val="Heading2"/>
      </w:pPr>
      <w:r>
        <w:t xml:space="preserve">2. Background and Rationale</w:t>
      </w:r>
    </w:p>
    <w:p>
      <w:pPr>
        <w:pStyle w:val="FirstParagraph"/>
      </w:pPr>
      <w:r>
        <w:t xml:space="preserve">Current ophthalmic services in Australia Sydney operate under severe strain. The Royal Australian College of Ophthalmologists reports that wait times for specialist consultations exceed 18 months in some Sydney health districts, directly contributing to preventable vision loss. Rural-urban disparities are exacerbated by the concentration of ophthalmology specialists in metropolitan centers like Sydney, leaving regional populations underserved despite Australia's advanced healthcare system. Furthermore, existing screening programs often fail to account for linguistic diversity and socioeconomic factors prevalent across Greater Sydney's 5 million residents.</w:t>
      </w:r>
    </w:p>
    <w:p>
      <w:pPr>
        <w:pStyle w:val="BodyText"/>
      </w:pPr>
      <w:r>
        <w:t xml:space="preserve">Recent initiatives like the National Eye Health Survey highlight that 30% of Australian adults with diabetes lack access to annual retinal screenings. This Research Proposal positions an Ophthalmologist at the forefront of solving this crisis by integrating AI-powered retinal imaging with community health centers – a solution uniquely tailored for Australia Sydney's complex healthcare ecosystem. The proposal aligns with the NSW Health Digital Transformation Strategy 2023-2030 and addresses Priority 1 of the Australian National Eye Health Plan.</w:t>
      </w:r>
    </w:p>
    <w:bookmarkEnd w:id="21"/>
    <w:bookmarkStart w:id="22" w:name="research-objectives"/>
    <w:p>
      <w:pPr>
        <w:pStyle w:val="Heading2"/>
      </w:pPr>
      <w:r>
        <w:t xml:space="preserve">3. Research Objectives</w:t>
      </w:r>
    </w:p>
    <w:p>
      <w:pPr>
        <w:pStyle w:val="FirstParagraph"/>
      </w:pPr>
      <w:r>
        <w:t xml:space="preserve">This research aims to achieve three interrelated objectives:</w:t>
      </w:r>
    </w:p>
    <w:p>
      <w:pPr>
        <w:numPr>
          <w:ilvl w:val="0"/>
          <w:numId w:val="1001"/>
        </w:numPr>
        <w:pStyle w:val="Compact"/>
      </w:pPr>
      <w:r>
        <w:rPr>
          <w:bCs/>
          <w:b/>
        </w:rPr>
        <w:t xml:space="preserve">Develop</w:t>
      </w:r>
      <w:r>
        <w:t xml:space="preserve">: A culturally responsive tele-ophthalmology platform for DR screening, validated for use across Sydney's linguistic and socioeconomic diversity.</w:t>
      </w:r>
    </w:p>
    <w:p>
      <w:pPr>
        <w:numPr>
          <w:ilvl w:val="0"/>
          <w:numId w:val="1001"/>
        </w:numPr>
        <w:pStyle w:val="Compact"/>
      </w:pPr>
      <w:r>
        <w:rPr>
          <w:bCs/>
          <w:b/>
        </w:rPr>
        <w:t xml:space="preserve">Evaluate</w:t>
      </w:r>
      <w:r>
        <w:t xml:space="preserve">: The clinical efficacy and cost-effectiveness of the model compared to standard care pathways in Australia Sydney.</w:t>
      </w:r>
    </w:p>
    <w:p>
      <w:pPr>
        <w:numPr>
          <w:ilvl w:val="0"/>
          <w:numId w:val="1001"/>
        </w:numPr>
        <w:pStyle w:val="Compact"/>
      </w:pPr>
      <w:r>
        <w:rPr>
          <w:bCs/>
          <w:b/>
        </w:rPr>
        <w:t xml:space="preserve">Implement</w:t>
      </w:r>
      <w:r>
        <w:t xml:space="preserve">: A sustainable framework for scaling the solution across New South Wales, with specific focus on high-risk communities (e.g., Aboriginal populations, newly arrived migrants).</w:t>
      </w:r>
    </w:p>
    <w:bookmarkEnd w:id="22"/>
    <w:bookmarkStart w:id="26" w:name="methodology"/>
    <w:p>
      <w:pPr>
        <w:pStyle w:val="Heading2"/>
      </w:pPr>
      <w:r>
        <w:t xml:space="preserve">4. Methodology</w:t>
      </w:r>
    </w:p>
    <w:p>
      <w:pPr>
        <w:pStyle w:val="FirstParagraph"/>
      </w:pPr>
      <w:r>
        <w:t xml:space="preserve">The study employs a mixed-methods approach across 18 months, conducted in partnership with Sydney Local Health District and Western Sydney University's Centre for Eye Research Australia.</w:t>
      </w:r>
    </w:p>
    <w:bookmarkStart w:id="23" w:name="phase-1-community-co-design-months-1-4"/>
    <w:p>
      <w:pPr>
        <w:pStyle w:val="Heading3"/>
      </w:pPr>
      <w:r>
        <w:t xml:space="preserve">Phase 1: Community Co-Design (Months 1-4)</w:t>
      </w:r>
    </w:p>
    <w:p>
      <w:pPr>
        <w:pStyle w:val="FirstParagraph"/>
      </w:pPr>
      <w:r>
        <w:t xml:space="preserve">In collaboration with Aboriginal Community Controlled Health Services, Vietnamese and Arabic-speaking community organizations, and primary care clinics across Sydney (including Inner West, Western Sydney, and South Eastern), we will conduct focus groups to co-design culturally appropriate screening protocols. An Ophthalmologist-led team will ensure clinical validity while respecting community knowledge systems.</w:t>
      </w:r>
    </w:p>
    <w:bookmarkEnd w:id="23"/>
    <w:bookmarkStart w:id="24" w:name="X4dff3e03aabf7c69eace3473d175a75f1a25a43"/>
    <w:p>
      <w:pPr>
        <w:pStyle w:val="Heading3"/>
      </w:pPr>
      <w:r>
        <w:t xml:space="preserve">Phase 2: Technology Integration (Months 5-10)</w:t>
      </w:r>
    </w:p>
    <w:p>
      <w:pPr>
        <w:pStyle w:val="FirstParagraph"/>
      </w:pPr>
      <w:r>
        <w:t xml:space="preserve">Development of a mobile app for primary care clinics using approved Australian digital health tools (e.g., My Health Record integration). The system will use FDA-cleared AI algorithms for retinal image analysis, with human verification by a certified Ophthalmologist. We will deploy this at 12 sites across Sydney, including community health centers in Parramatta, Blacktown, and Cabramatta – areas with documented healthcare access gaps.</w:t>
      </w:r>
    </w:p>
    <w:bookmarkEnd w:id="24"/>
    <w:bookmarkStart w:id="25" w:name="phase-3-impact-assessment-months-11-18"/>
    <w:p>
      <w:pPr>
        <w:pStyle w:val="Heading3"/>
      </w:pPr>
      <w:r>
        <w:t xml:space="preserve">Phase 3: Impact Assessment (Months 11-18)</w:t>
      </w:r>
    </w:p>
    <w:p>
      <w:pPr>
        <w:pStyle w:val="FirstParagraph"/>
      </w:pPr>
      <w:r>
        <w:t xml:space="preserve">A randomized controlled trial comparing outcomes between 400 intervention participants (using the tele-ophthalmology model) and 400 standard-care controls. Primary metrics include DR detection rates, time-to-treatment, patient satisfaction (measured via validated scales in multiple languages), and cost analysis aligned with Medicare funding structures.</w:t>
      </w:r>
    </w:p>
    <w:bookmarkEnd w:id="25"/>
    <w:bookmarkEnd w:id="26"/>
    <w:bookmarkStart w:id="27" w:name="expected-outcomes-and-impact"/>
    <w:p>
      <w:pPr>
        <w:pStyle w:val="Heading2"/>
      </w:pPr>
      <w:r>
        <w:t xml:space="preserve">5. Expected Outcomes and Impact</w:t>
      </w:r>
    </w:p>
    <w:p>
      <w:pPr>
        <w:pStyle w:val="FirstParagraph"/>
      </w:pPr>
      <w:r>
        <w:t xml:space="preserve">This Research Proposal anticipates transformative outcomes for Australia Sydney's healthcare landscape:</w:t>
      </w:r>
    </w:p>
    <w:p>
      <w:pPr>
        <w:numPr>
          <w:ilvl w:val="0"/>
          <w:numId w:val="1002"/>
        </w:numPr>
        <w:pStyle w:val="Compact"/>
      </w:pPr>
      <w:r>
        <w:rPr>
          <w:bCs/>
          <w:b/>
        </w:rPr>
        <w:t xml:space="preserve">Reduced Vision Loss</w:t>
      </w:r>
      <w:r>
        <w:t xml:space="preserve">: Projected 40% increase in early DR detection rates within target communities, directly preventing vision impairment among 1,200+ Sydney residents annually.</w:t>
      </w:r>
    </w:p>
    <w:p>
      <w:pPr>
        <w:numPr>
          <w:ilvl w:val="0"/>
          <w:numId w:val="1002"/>
        </w:numPr>
        <w:pStyle w:val="Compact"/>
      </w:pPr>
      <w:r>
        <w:rPr>
          <w:bCs/>
          <w:b/>
        </w:rPr>
        <w:t xml:space="preserve">System Efficiency</w:t>
      </w:r>
      <w:r>
        <w:t xml:space="preserve">: Estimated reduction of 8 weeks in specialist referral wait times – addressing a critical bottleneck identified in NSW Health reports.</w:t>
      </w:r>
    </w:p>
    <w:p>
      <w:pPr>
        <w:numPr>
          <w:ilvl w:val="0"/>
          <w:numId w:val="1002"/>
        </w:numPr>
        <w:pStyle w:val="Compact"/>
      </w:pPr>
      <w:r>
        <w:rPr>
          <w:bCs/>
          <w:b/>
        </w:rPr>
        <w:t xml:space="preserve">National Scalability</w:t>
      </w:r>
      <w:r>
        <w:t xml:space="preserve">: A blueprint for implementation across Australia using the Australian Digital Health Agency's standards, with particular relevance for other major cities facing similar strain.</w:t>
      </w:r>
    </w:p>
    <w:p>
      <w:pPr>
        <w:numPr>
          <w:ilvl w:val="0"/>
          <w:numId w:val="1002"/>
        </w:numPr>
        <w:pStyle w:val="Compact"/>
      </w:pPr>
      <w:r>
        <w:rPr>
          <w:bCs/>
          <w:b/>
        </w:rPr>
        <w:t xml:space="preserve">Workforce Development</w:t>
      </w:r>
      <w:r>
        <w:t xml:space="preserve">: Training 25+ primary care nurses and allied health workers in Sydney in tele-ophthalmology protocols, creating a pipeline of skilled personnel.</w:t>
      </w:r>
    </w:p>
    <w:p>
      <w:pPr>
        <w:pStyle w:val="FirstParagraph"/>
      </w:pPr>
      <w:r>
        <w:t xml:space="preserve">The research will generate evidence-based policy recommendations for the NSW Ministry of Health, directly influencing future funding allocations for ophthalmic services. Crucially, as an Ophthalmologist conducting this work within Australia Sydney's healthcare context, I will ensure findings prioritize equity – a core value of Australian medical ethics.</w:t>
      </w:r>
    </w:p>
    <w:bookmarkEnd w:id="27"/>
    <w:bookmarkStart w:id="28" w:name="X6283d0a17c6ca0da60af57901b035e7a0d99849"/>
    <w:p>
      <w:pPr>
        <w:pStyle w:val="Heading2"/>
      </w:pPr>
      <w:r>
        <w:t xml:space="preserve">6. Ethical Considerations and Community Partnership</w:t>
      </w:r>
    </w:p>
    <w:p>
      <w:pPr>
        <w:pStyle w:val="FirstParagraph"/>
      </w:pPr>
      <w:r>
        <w:t xml:space="preserve">Ethics approval will be obtained through the South Eastern Sydney Local Health District Human Research Ethics Committee. The project embeds community advisory boards with representatives from Indigenous health organizations (e.g., Aboriginal Medical Services Alliance NSW), migrant support services, and patient advocacy groups. This ensures the research remains grounded in lived experiences – a critical factor for successful implementation in Australia Sydney's pluralistic society.</w:t>
      </w:r>
    </w:p>
    <w:bookmarkEnd w:id="28"/>
    <w:bookmarkStart w:id="29" w:name="timeline-and-resource-requirements"/>
    <w:p>
      <w:pPr>
        <w:pStyle w:val="Heading2"/>
      </w:pPr>
      <w:r>
        <w:t xml:space="preserve">7. Timeline and Resource Requirements</w:t>
      </w:r>
    </w:p>
    <w:p>
      <w:pPr>
        <w:pStyle w:val="FirstParagraph"/>
      </w:pPr>
      <w:r>
        <w:t xml:space="preserve">A 24-month timeline includes:</w:t>
      </w:r>
    </w:p>
    <w:p>
      <w:pPr>
        <w:numPr>
          <w:ilvl w:val="0"/>
          <w:numId w:val="1003"/>
        </w:numPr>
        <w:pStyle w:val="Compact"/>
      </w:pPr>
      <w:r>
        <w:rPr>
          <w:bCs/>
          <w:b/>
        </w:rPr>
        <w:t xml:space="preserve">Months 1-6</w:t>
      </w:r>
      <w:r>
        <w:t xml:space="preserve">: Community engagement, technology adaptation, ethics approval</w:t>
      </w:r>
    </w:p>
    <w:p>
      <w:pPr>
        <w:numPr>
          <w:ilvl w:val="0"/>
          <w:numId w:val="1003"/>
        </w:numPr>
        <w:pStyle w:val="Compact"/>
      </w:pPr>
      <w:r>
        <w:rPr>
          <w:bCs/>
          <w:b/>
        </w:rPr>
        <w:t xml:space="preserve">Months 7-15</w:t>
      </w:r>
      <w:r>
        <w:t xml:space="preserve">: Platform deployment across Sydney sites, data collection initiation</w:t>
      </w:r>
    </w:p>
    <w:p>
      <w:pPr>
        <w:numPr>
          <w:ilvl w:val="0"/>
          <w:numId w:val="1003"/>
        </w:numPr>
        <w:pStyle w:val="Compact"/>
      </w:pPr>
      <w:r>
        <w:rPr>
          <w:bCs/>
          <w:b/>
        </w:rPr>
        <w:t xml:space="preserve">Months 16-24</w:t>
      </w:r>
      <w:r>
        <w:t xml:space="preserve">: Comprehensive analysis, stakeholder reporting to NSW Health and Australian Government bodies</w:t>
      </w:r>
    </w:p>
    <w:p>
      <w:pPr>
        <w:pStyle w:val="FirstParagraph"/>
      </w:pPr>
      <w:r>
        <w:t xml:space="preserve">Required resources include a $385,000 grant for AI software adaptation (aligned with the NHMRC's Digital Health Research Program), clinical staff time allocation at Sydney community health centers, and translation services for multilingual materials. All data will be stored on Australian-based servers compliant with the Privacy Act 1988.</w:t>
      </w:r>
    </w:p>
    <w:bookmarkEnd w:id="29"/>
    <w:bookmarkStart w:id="30" w:name="conclusion"/>
    <w:p>
      <w:pPr>
        <w:pStyle w:val="Heading2"/>
      </w:pPr>
      <w:r>
        <w:t xml:space="preserve">8. Conclusion</w:t>
      </w:r>
    </w:p>
    <w:p>
      <w:pPr>
        <w:pStyle w:val="FirstParagraph"/>
      </w:pPr>
      <w:r>
        <w:t xml:space="preserve">This Research Proposal represents a necessary evolution in how ophthalmic care is delivered across Australia Sydney – moving beyond traditional clinic-based models to embrace technology that meets communities where they are. As an Ophthalmologist deeply embedded in Sydney's healthcare environment, I recognize that sustainable solutions must address the intersection of clinical need, cultural context, and systemic constraints. This project directly responds to the Australian Government's vision for "world-class eye health" by creating a replicable framework that prioritizes early intervention and equitable access. The outcomes will not only transform care for Sydney's most vulnerable residents but also provide a national model for integrating tele-ophthalmology into Australia's healthcare fabric, ensuring that future generations of Australians can see clearly without barriers.</w:t>
      </w:r>
    </w:p>
    <w:bookmarkEnd w:id="30"/>
    <w:bookmarkStart w:id="31" w:name="references-selected"/>
    <w:p>
      <w:pPr>
        <w:pStyle w:val="Heading2"/>
      </w:pPr>
      <w:r>
        <w:t xml:space="preserve">9. References (Selected)</w:t>
      </w:r>
    </w:p>
    <w:p>
      <w:pPr>
        <w:pStyle w:val="FirstParagraph"/>
      </w:pPr>
      <w:r>
        <w:t xml:space="preserve">Australian Government Department of Health. (2021). *National Eye Health Plan 2030*. Canberra: Commonwealth of Australia.</w:t>
      </w:r>
      <w:r>
        <w:br/>
      </w:r>
      <w:r>
        <w:t xml:space="preserve">NSW Ministry of Health. (2023). *Digital Transformation Strategy for Healthcare in New South Wales*. Sydney.</w:t>
      </w:r>
      <w:r>
        <w:br/>
      </w:r>
      <w:r>
        <w:t xml:space="preserve">Australian Institute of Health and Welfare. (2023). *Diabetes in Australia: Key Statistics*. AIHW Cat. No. CVD 96.</w:t>
      </w:r>
      <w:r>
        <w:br/>
      </w:r>
      <w:r>
        <w:t xml:space="preserve">Royal Australian and New Zealand College of Ophthalmologists. (2022). *Ophthalmology Workforce Report*.</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Ocular Healthcare in Australia Sydney</dc:title>
  <dc:creator/>
  <dc:language>en</dc:language>
  <cp:keywords/>
  <dcterms:created xsi:type="dcterms:W3CDTF">2026-07-21T16:56:25Z</dcterms:created>
  <dcterms:modified xsi:type="dcterms:W3CDTF">2026-07-21T16:56:25Z</dcterms:modified>
</cp:coreProperties>
</file>

<file path=docProps/custom.xml><?xml version="1.0" encoding="utf-8"?>
<Properties xmlns="http://schemas.openxmlformats.org/officeDocument/2006/custom-properties" xmlns:vt="http://schemas.openxmlformats.org/officeDocument/2006/docPropsVTypes"/>
</file>