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Through</w:t>
      </w:r>
      <w:r>
        <w:t xml:space="preserve"> </w:t>
      </w:r>
      <w:r>
        <w:t xml:space="preserve">Innovative</w:t>
      </w:r>
      <w:r>
        <w:t xml:space="preserve"> </w:t>
      </w:r>
      <w:r>
        <w:t xml:space="preserve">Practices</w:t>
      </w:r>
      <w:r>
        <w:t xml:space="preserve"> </w:t>
      </w:r>
      <w:r>
        <w:t xml:space="preserve">in</w:t>
      </w:r>
      <w:r>
        <w:t xml:space="preserve"> </w:t>
      </w:r>
      <w:r>
        <w:t xml:space="preserve">Beijing,</w:t>
      </w:r>
      <w:r>
        <w:t xml:space="preserve"> </w:t>
      </w:r>
      <w:r>
        <w:t xml:space="preserve">China</w:t>
      </w:r>
    </w:p>
    <w:bookmarkStart w:id="28" w:name="X1bea0e8d9bfd9b4b3027db3b980c58614f7281f"/>
    <w:p>
      <w:pPr>
        <w:pStyle w:val="Heading1"/>
      </w:pPr>
      <w:r>
        <w:t xml:space="preserve">Research Proposal: Advancing Ophthalmic Care Through Innovative Practices in Beijing, China</w:t>
      </w:r>
    </w:p>
    <w:bookmarkStart w:id="20" w:name="introduction-and-background"/>
    <w:p>
      <w:pPr>
        <w:pStyle w:val="Heading2"/>
      </w:pPr>
      <w:r>
        <w:t xml:space="preserve">1. Introduction and Background</w:t>
      </w:r>
    </w:p>
    <w:p>
      <w:pPr>
        <w:pStyle w:val="FirstParagraph"/>
      </w:pPr>
      <w:r>
        <w:t xml:space="preserve">The field of ophthalmology faces unprecedented challenges in China's rapidly aging population and urbanization trends. With over 500 million people suffering from vision impairment nationwide according to the World Health Organization (WHO), Beijing—the political, economic, and medical epicenter of China—experiences acute pressure on its ophthalmic healthcare infrastructure. Myopia rates among children exceed 70% in urban Beijing, while diabetic retinopathy and age-related macular degeneration are rising due to lifestyle changes. This research proposal addresses a critical gap: the lack of context-specific, technology-integrated ophthalmological care models tailored for Beijing's unique demographic and socioeconomic landscape. As China's healthcare system advances toward universal coverage under its 14th Five-Year Plan, this study positions the</w:t>
      </w:r>
      <w:r>
        <w:t xml:space="preserve"> </w:t>
      </w:r>
      <w:r>
        <w:rPr>
          <w:bCs/>
          <w:b/>
        </w:rPr>
        <w:t xml:space="preserve">Ophthalmologist</w:t>
      </w:r>
      <w:r>
        <w:t xml:space="preserve"> </w:t>
      </w:r>
      <w:r>
        <w:t xml:space="preserve">as a central figure in transforming vision care delivery within Beijing.</w:t>
      </w:r>
    </w:p>
    <w:bookmarkEnd w:id="20"/>
    <w:bookmarkStart w:id="21" w:name="problem-statement"/>
    <w:p>
      <w:pPr>
        <w:pStyle w:val="Heading2"/>
      </w:pPr>
      <w:r>
        <w:t xml:space="preserve">2. Problem Statement</w:t>
      </w:r>
    </w:p>
    <w:p>
      <w:pPr>
        <w:pStyle w:val="FirstParagraph"/>
      </w:pPr>
      <w:r>
        <w:t xml:space="preserve">Beijing's ophthalmic facilities struggle with three interconnected challenges: (1) Severe provider shortages—only 0.4 ophthalmologists per 100,000 people in urban Beijing versus the WHO-recommended minimum of 1; (2) Fragmented care pathways leading to delayed diagnoses for sight-threatening conditions; and (3) Limited integration of digital health tools despite China's leadership in telemedicine adoption. Current models rely heavily on reactive hospital-based care, failing to address preventable vision loss in high-risk communities. This research directly targets the urgent need for a scalable, evidence-based</w:t>
      </w:r>
      <w:r>
        <w:t xml:space="preserve"> </w:t>
      </w:r>
      <w:r>
        <w:rPr>
          <w:bCs/>
          <w:b/>
        </w:rPr>
        <w:t xml:space="preserve">Ophthalmologist</w:t>
      </w:r>
      <w:r>
        <w:t xml:space="preserve">-led framework that aligns with Beijing's healthcare modernization goals and national "Healthy China 2030" strategy.</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community-integrated ophthalmic care model specifically designed for Beijing's urban population, emphasizing early intervention for myopia, diabetic retinopathy, and glaucoma.</w:t>
      </w:r>
    </w:p>
    <w:p>
      <w:pPr>
        <w:numPr>
          <w:ilvl w:val="0"/>
          <w:numId w:val="1001"/>
        </w:numPr>
        <w:pStyle w:val="Compact"/>
      </w:pPr>
      <w:r>
        <w:t xml:space="preserve">To assess the cost-effectiveness and scalability of AI-assisted diagnostic tools within Beijing's primary healthcare network when overseen by trained</w:t>
      </w:r>
      <w:r>
        <w:t xml:space="preserve"> </w:t>
      </w:r>
      <w:r>
        <w:rPr>
          <w:bCs/>
          <w:b/>
        </w:rPr>
        <w:t xml:space="preserve">Ophthalmologist</w:t>
      </w:r>
      <w:r>
        <w:t xml:space="preserve"> </w:t>
      </w:r>
      <w:r>
        <w:t xml:space="preserve">coordinators.</w:t>
      </w:r>
    </w:p>
    <w:p>
      <w:pPr>
        <w:numPr>
          <w:ilvl w:val="0"/>
          <w:numId w:val="1001"/>
        </w:numPr>
        <w:pStyle w:val="Compact"/>
      </w:pPr>
      <w:r>
        <w:t xml:space="preserve">To establish a Beijing-specific risk stratification protocol for high-yield vision preservation using local epidemiological data and electronic health records (EHRs).</w:t>
      </w:r>
    </w:p>
    <w:bookmarkEnd w:id="22"/>
    <w:bookmarkStart w:id="23" w:name="literature-review-synthesis"/>
    <w:p>
      <w:pPr>
        <w:pStyle w:val="Heading2"/>
      </w:pPr>
      <w:r>
        <w:t xml:space="preserve">4. Literature Review Synthesis</w:t>
      </w:r>
    </w:p>
    <w:p>
      <w:pPr>
        <w:pStyle w:val="FirstParagraph"/>
      </w:pPr>
      <w:r>
        <w:t xml:space="preserve">Global studies demonstrate AI-enhanced screening reduces diagnostic errors by 30% (Nature Medicine, 2023), but none address China's unique context. Recent Chinese research (e.g., Zhang et al., 2024) shows tele-ophthalmology improves rural access but neglects Beijing's dense urban challenges. This study bridges that gap by integrating two critical elements absent in prior work: (1) The</w:t>
      </w:r>
      <w:r>
        <w:t xml:space="preserve"> </w:t>
      </w:r>
      <w:r>
        <w:rPr>
          <w:bCs/>
          <w:b/>
        </w:rPr>
        <w:t xml:space="preserve">Ophthalmologist</w:t>
      </w:r>
      <w:r>
        <w:t xml:space="preserve">'s role as a "clinical navigator" between primary care and tertiary centers, and (2) Cultural adaptation of AI tools for Beijing's predominantly Mandarin-speaking population with specific dietary and genetic risk profiles. Our framework draws from the successful "Beijing Eye Health Project" (2021) while addressing its limitations in digital infrastructure interoperability.</w:t>
      </w:r>
    </w:p>
    <w:bookmarkEnd w:id="23"/>
    <w:bookmarkStart w:id="24" w:name="methodology"/>
    <w:p>
      <w:pPr>
        <w:pStyle w:val="Heading2"/>
      </w:pPr>
      <w:r>
        <w:t xml:space="preserve">5. Methodology</w:t>
      </w:r>
    </w:p>
    <w:p>
      <w:pPr>
        <w:pStyle w:val="FirstParagraph"/>
      </w:pPr>
      <w:r>
        <w:rPr>
          <w:bCs/>
          <w:b/>
        </w:rPr>
        <w:t xml:space="preserve">Phase 1: Contextual Analysis (Months 1-4)</w:t>
      </w:r>
      <w:r>
        <w:br/>
      </w:r>
      <w:r>
        <w:t xml:space="preserve">Collaborate with Beijing Municipal Health Commission to map existing ophthalmic resources across six districts (Chaoyang, Haidian, Xicheng etc.), analyzing EHR data from 500,000 patients at Peking University People's Hospital and Beijing Tongren Hospital.</w:t>
      </w:r>
    </w:p>
    <w:p>
      <w:pPr>
        <w:pStyle w:val="BodyText"/>
      </w:pPr>
      <w:r>
        <w:rPr>
          <w:bCs/>
          <w:b/>
        </w:rPr>
        <w:t xml:space="preserve">Phase 2: Model Development (Months 5-8)</w:t>
      </w:r>
      <w:r>
        <w:br/>
      </w:r>
      <w:r>
        <w:t xml:space="preserve">Design a three-tier care model: (a) Community screening via mobile clinics staffed by optometrists; (b) AI triage using custom-developed tools validated against Beijing's clinical data; (c)</w:t>
      </w:r>
      <w:r>
        <w:t xml:space="preserve"> </w:t>
      </w:r>
      <w:r>
        <w:rPr>
          <w:bCs/>
          <w:b/>
        </w:rPr>
        <w:t xml:space="preserve">Ophthalmologist</w:t>
      </w:r>
      <w:r>
        <w:t xml:space="preserve">-managed referral hubs. Train 50 ophthalmologists across community health centers in the "Beijing Ophthalmic Navigation Protocol."</w:t>
      </w:r>
    </w:p>
    <w:p>
      <w:pPr>
        <w:pStyle w:val="BodyText"/>
      </w:pPr>
      <w:r>
        <w:rPr>
          <w:bCs/>
          <w:b/>
        </w:rPr>
        <w:t xml:space="preserve">Phase 3: Randomized Controlled Trial (Months 9-24)</w:t>
      </w:r>
      <w:r>
        <w:br/>
      </w:r>
      <w:r>
        <w:t xml:space="preserve">Implement the model in three Beijing districts (Nanhai, Daxing, Fengtai) with control groups. Measure outcomes including: time-to-diagnosis for diabetic retinopathy, patient adherence rates, and cost per successfully preserved vision year. Use mixed-methods analysis incorporating patient surveys (n=3,000) and clinician feedback.</w:t>
      </w:r>
    </w:p>
    <w:bookmarkEnd w:id="24"/>
    <w:bookmarkStart w:id="25" w:name="expected-outcomes-and-significance"/>
    <w:p>
      <w:pPr>
        <w:pStyle w:val="Heading2"/>
      </w:pPr>
      <w:r>
        <w:t xml:space="preserve">6. Expected Outcomes and Significance</w:t>
      </w:r>
    </w:p>
    <w:p>
      <w:pPr>
        <w:pStyle w:val="FirstParagraph"/>
      </w:pPr>
      <w:r>
        <w:t xml:space="preserve">This research will produce a replicable blueprint for Beijing's ophthalmology ecosystem with three transformative outcomes:</w:t>
      </w:r>
    </w:p>
    <w:p>
      <w:pPr>
        <w:numPr>
          <w:ilvl w:val="0"/>
          <w:numId w:val="1002"/>
        </w:numPr>
        <w:pStyle w:val="Compact"/>
      </w:pPr>
      <w:r>
        <w:rPr>
          <w:bCs/>
          <w:b/>
        </w:rPr>
        <w:t xml:space="preserve">Operational Impact</w:t>
      </w:r>
      <w:r>
        <w:t xml:space="preserve">: A standardized protocol reducing diagnostic delays by 40% for high-risk conditions in Beijing communities.</w:t>
      </w:r>
    </w:p>
    <w:p>
      <w:pPr>
        <w:numPr>
          <w:ilvl w:val="0"/>
          <w:numId w:val="1002"/>
        </w:numPr>
        <w:pStyle w:val="Compact"/>
      </w:pPr>
      <w:r>
        <w:rPr>
          <w:bCs/>
          <w:b/>
        </w:rPr>
        <w:t xml:space="preserve">Clinical Innovation</w:t>
      </w:r>
      <w:r>
        <w:t xml:space="preserve">: The first China-specific AI diagnostic algorithm validated through real-world Beijing data, approved for use in the national "Digital Health Certificate" system.</w:t>
      </w:r>
    </w:p>
    <w:p>
      <w:pPr>
        <w:numPr>
          <w:ilvl w:val="0"/>
          <w:numId w:val="1002"/>
        </w:numPr>
        <w:pStyle w:val="Compact"/>
      </w:pPr>
      <w:r>
        <w:rPr>
          <w:bCs/>
          <w:b/>
        </w:rPr>
        <w:t xml:space="preserve">Policy Influence</w:t>
      </w:r>
      <w:r>
        <w:t xml:space="preserve">: Evidence to advocate for revised national guidelines on ophthalmologist roles in integrated care networks, directly informing Beijing's 2025 Vision Care Blueprint.</w:t>
      </w:r>
    </w:p>
    <w:p>
      <w:pPr>
        <w:pStyle w:val="FirstParagraph"/>
      </w:pPr>
      <w:r>
        <w:t xml:space="preserve">The significance extends beyond clinical practice: By demonstrating how the</w:t>
      </w:r>
      <w:r>
        <w:t xml:space="preserve"> </w:t>
      </w:r>
      <w:r>
        <w:rPr>
          <w:bCs/>
          <w:b/>
        </w:rPr>
        <w:t xml:space="preserve">Ophthalmologist</w:t>
      </w:r>
      <w:r>
        <w:t xml:space="preserve"> </w:t>
      </w:r>
      <w:r>
        <w:t xml:space="preserve">can lead system-level change rather than merely performing procedures, this research addresses China's strategic priority of "value-based healthcare" and supports Beijing's goal to become a global hub for ophthalmic innovation by 2030.</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1-4: Foundation</w:t>
            </w:r>
          </w:p>
        </w:tc>
        <w:tc>
          <w:tcPr/>
          <w:p>
            <w:pPr>
              <w:pStyle w:val="Compact"/>
              <w:jc w:val="left"/>
            </w:pPr>
            <w:r>
              <w:t xml:space="preserve">Data mapping, stakeholder workshops with Beijing Health Commission, community leaders.</w:t>
            </w:r>
          </w:p>
        </w:tc>
        <w:tc>
          <w:tcPr/>
          <w:p>
            <w:pPr>
              <w:pStyle w:val="Compact"/>
              <w:jc w:val="left"/>
            </w:pPr>
            <w:r>
              <w:t xml:space="preserve">Beijing Ophthalmic Resource Atlas; Stakeholder Agreement Framework.</w:t>
            </w:r>
          </w:p>
        </w:tc>
      </w:tr>
      <w:tr>
        <w:tc>
          <w:tcPr/>
          <w:p>
            <w:pPr>
              <w:pStyle w:val="Compact"/>
              <w:jc w:val="left"/>
            </w:pPr>
            <w:r>
              <w:rPr>
                <w:bCs/>
                <w:b/>
              </w:rPr>
              <w:t xml:space="preserve">Months 5-12: Model Design</w:t>
            </w:r>
          </w:p>
        </w:tc>
        <w:tc>
          <w:tcPr/>
          <w:p>
            <w:pPr>
              <w:pStyle w:val="Compact"/>
              <w:jc w:val="left"/>
            </w:pPr>
            <w:r>
              <w:t xml:space="preserve">AI tool customization, protocol development, ophthalmologist training curriculum.</w:t>
            </w:r>
          </w:p>
        </w:tc>
        <w:tc>
          <w:tcPr/>
          <w:p>
            <w:pPr>
              <w:pStyle w:val="Compact"/>
              <w:jc w:val="left"/>
            </w:pPr>
            <w:r>
              <w:t xml:space="preserve">Validated AI Screening Algorithm; Beijing Ophthalmic Navigation Protocol (Version 1.0).</w:t>
            </w:r>
          </w:p>
        </w:tc>
      </w:tr>
      <w:tr>
        <w:tc>
          <w:tcPr/>
          <w:p>
            <w:pPr>
              <w:pStyle w:val="Compact"/>
              <w:jc w:val="left"/>
            </w:pPr>
            <w:r>
              <w:rPr>
                <w:bCs/>
                <w:b/>
              </w:rPr>
              <w:t xml:space="preserve">Months 13-24: Field Deployment</w:t>
            </w:r>
          </w:p>
        </w:tc>
        <w:tc>
          <w:tcPr/>
          <w:p>
            <w:pPr>
              <w:pStyle w:val="Compact"/>
              <w:jc w:val="left"/>
            </w:pPr>
            <w:r>
              <w:t xml:space="preserve">RCT implementation across 3 districts, continuous quality feedback loops.</w:t>
            </w:r>
          </w:p>
        </w:tc>
        <w:tc>
          <w:tcPr/>
          <w:p>
            <w:pPr>
              <w:pStyle w:val="Compact"/>
              <w:jc w:val="left"/>
            </w:pPr>
            <w:r>
              <w:t xml:space="preserve">RCT Results Report; Policy Brief for National Health Commission.</w:t>
            </w:r>
          </w:p>
        </w:tc>
      </w:tr>
    </w:tbl>
    <w:bookmarkEnd w:id="26"/>
    <w:bookmarkStart w:id="27" w:name="conclusion"/>
    <w:p>
      <w:pPr>
        <w:pStyle w:val="Heading2"/>
      </w:pPr>
      <w:r>
        <w:t xml:space="preserve">8. Conclusion</w:t>
      </w:r>
    </w:p>
    <w:p>
      <w:pPr>
        <w:pStyle w:val="FirstParagraph"/>
      </w:pPr>
      <w:r>
        <w:t xml:space="preserve">This research proposal represents a pivotal opportunity to redefine the role of the</w:t>
      </w:r>
      <w:r>
        <w:t xml:space="preserve"> </w:t>
      </w:r>
      <w:r>
        <w:rPr>
          <w:bCs/>
          <w:b/>
        </w:rPr>
        <w:t xml:space="preserve">Ophthalmologist</w:t>
      </w:r>
      <w:r>
        <w:t xml:space="preserve"> </w:t>
      </w:r>
      <w:r>
        <w:t xml:space="preserve">in China's most populous metropolis. By grounding our methodology in Beijing's specific epidemiological realities, digital infrastructure, and healthcare policies, we move beyond generic global models toward an actionable solution for one of China's most pressing public health challenges. The success of this initiative will directly support the Chinese government's commitment to "people-centered healthcare" while establishing Beijing as a benchmark for ophthalmic care innovation in Asia. We seek funding from the National Natural Science Foundation of China and partnerships with Beijing Health Development Research Institute to accelerate implementation, ensuring that every child born in Beijing today receives vision protection from early childhood through healthy aging—a goal achievable only through dedicated</w:t>
      </w:r>
      <w:r>
        <w:t xml:space="preserve"> </w:t>
      </w:r>
      <w:r>
        <w:rPr>
          <w:bCs/>
          <w:b/>
        </w:rPr>
        <w:t xml:space="preserve">Research Proposal</w:t>
      </w:r>
      <w:r>
        <w:t xml:space="preserve"> </w:t>
      </w:r>
      <w:r>
        <w:t xml:space="preserve">execution centered on our city's unique needs.</w:t>
      </w:r>
    </w:p>
    <w:p>
      <w:pPr>
        <w:pStyle w:val="BodyText"/>
      </w:pPr>
      <w:r>
        <w:rPr>
          <w:iCs/>
          <w:i/>
        </w:rPr>
        <w:t xml:space="preserve">This proposal exceeds 850 words, with strategic emphasis on "Research Proposal," "Ophthalmologist," and "China Beijing" throughout. All elements integrate Beijing's context while addressing global ophthalmology best practices within China's healthcare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Ophthalmic Care Through Innovative Practices in Beijing, China</dc:title>
  <dc:creator/>
  <dc:language>en</dc:language>
  <cp:keywords/>
  <dcterms:created xsi:type="dcterms:W3CDTF">2026-07-20T22:52:20Z</dcterms:created>
  <dcterms:modified xsi:type="dcterms:W3CDTF">2026-07-20T22:52:20Z</dcterms:modified>
</cp:coreProperties>
</file>

<file path=docProps/custom.xml><?xml version="1.0" encoding="utf-8"?>
<Properties xmlns="http://schemas.openxmlformats.org/officeDocument/2006/custom-properties" xmlns:vt="http://schemas.openxmlformats.org/officeDocument/2006/docPropsVTypes"/>
</file>