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29" w:name="Xcabae16721971e4b5e03e33a0007c3b887e314e"/>
    <w:p>
      <w:pPr>
        <w:pStyle w:val="Heading1"/>
      </w:pPr>
      <w:r>
        <w:t xml:space="preserve">Research Proposal: Enhancing Ophthalmological Services and Preventive Care for Underserved Populations in Colombia Bogotá</w:t>
      </w:r>
    </w:p>
    <w:bookmarkStart w:id="20" w:name="introduction-and-background"/>
    <w:p>
      <w:pPr>
        <w:pStyle w:val="Heading2"/>
      </w:pPr>
      <w:r>
        <w:t xml:space="preserve">1. Introduction and Background</w:t>
      </w:r>
    </w:p>
    <w:p>
      <w:pPr>
        <w:pStyle w:val="FirstParagraph"/>
      </w:pPr>
      <w:r>
        <w:t xml:space="preserve">In Colombia, eye health represents a critical public health priority, with ophthalmic conditions affecting over 3.5 million individuals across the nation. Bogotá, as Colombia's capital and most populous city with over 8 million residents, faces unique challenges in delivering equitable ophthalmological care. Despite having advanced medical infrastructure, significant disparities persist between affluent neighborhoods and impoverished areas like Soacha, Ciudad Bolívar, and Kennedy—where access to specialized</w:t>
      </w:r>
      <w:r>
        <w:t xml:space="preserve"> </w:t>
      </w:r>
      <w:r>
        <w:rPr>
          <w:iCs/>
          <w:i/>
        </w:rPr>
        <w:t xml:space="preserve">Ophthalmologist</w:t>
      </w:r>
      <w:r>
        <w:t xml:space="preserve"> </w:t>
      </w:r>
      <w:r>
        <w:t xml:space="preserve">services remains severely limited. The World Health Organization (WHO) reports that cataracts, diabetic retinopathy, and glaucoma account for 70% of preventable blindness cases in Colombia. This research proposal addresses the urgent need to develop a sustainable model for expanding ophthalmic care delivery within Bogotá's complex urban landscape.</w:t>
      </w:r>
    </w:p>
    <w:bookmarkEnd w:id="20"/>
    <w:bookmarkStart w:id="21" w:name="problem-statement"/>
    <w:p>
      <w:pPr>
        <w:pStyle w:val="Heading2"/>
      </w:pPr>
      <w:r>
        <w:t xml:space="preserve">2. Problem Statement</w:t>
      </w:r>
    </w:p>
    <w:p>
      <w:pPr>
        <w:pStyle w:val="FirstParagraph"/>
      </w:pPr>
      <w:r>
        <w:t xml:space="preserve">A critical gap exists between the demand for specialized eye care and service availability in Colombia Bogotá. According to the Colombian Ministry of Health, 65% of rural and low-income urban residents in Bogotá delay seeking ophthalmic treatment due to financial barriers, transportation challenges, or lack of awareness. This results in preventable vision loss: over 120,000 cases annually require surgical intervention but remain untreated. Crucially, the current system relies heavily on a centralized network of public clinics (e.g., EPS institutions), with only 18 certified</w:t>
      </w:r>
      <w:r>
        <w:t xml:space="preserve"> </w:t>
      </w:r>
      <w:r>
        <w:rPr>
          <w:iCs/>
          <w:i/>
        </w:rPr>
        <w:t xml:space="preserve">Ophthalmologist</w:t>
      </w:r>
      <w:r>
        <w:t xml:space="preserve"> </w:t>
      </w:r>
      <w:r>
        <w:t xml:space="preserve">specialists per 100,000 people—well below the WHO-recommended ratio of 35/100,000. This imbalance is particularly acute in peripheral districts where mobile health units are scarce. Without intervention, vision impairment will strain Colombia's social security system by $28 million annually while exacerbating poverty cycles among affected families.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accessibility gaps</w:t>
      </w:r>
      <w:r>
        <w:t xml:space="preserve">: Quantify spatial and socioeconomic barriers to ophthalmic care across 10 Bogotá districts using GIS analysis and patient surveys.</w:t>
      </w:r>
    </w:p>
    <w:p>
      <w:pPr>
        <w:numPr>
          <w:ilvl w:val="0"/>
          <w:numId w:val="1001"/>
        </w:numPr>
        <w:pStyle w:val="Compact"/>
      </w:pPr>
      <w:r>
        <w:rPr>
          <w:bCs/>
          <w:b/>
        </w:rPr>
        <w:t xml:space="preserve">To evaluate provider capacity</w:t>
      </w:r>
      <w:r>
        <w:t xml:space="preserve">: Assess current workload, technology utilization, and training needs of 50+</w:t>
      </w:r>
      <w:r>
        <w:t xml:space="preserve"> </w:t>
      </w:r>
      <w:r>
        <w:rPr>
          <w:iCs/>
          <w:i/>
        </w:rPr>
        <w:t xml:space="preserve">Ophthalmologist</w:t>
      </w:r>
      <w:r>
        <w:t xml:space="preserve"> </w:t>
      </w:r>
      <w:r>
        <w:t xml:space="preserve">practitioners in public vs. private settings.</w:t>
      </w:r>
    </w:p>
    <w:p>
      <w:pPr>
        <w:numPr>
          <w:ilvl w:val="0"/>
          <w:numId w:val="1001"/>
        </w:numPr>
        <w:pStyle w:val="Compact"/>
      </w:pPr>
      <w:r>
        <w:rPr>
          <w:bCs/>
          <w:b/>
        </w:rPr>
        <w:t xml:space="preserve">To co-design a scalable model</w:t>
      </w:r>
      <w:r>
        <w:t xml:space="preserve">: Develop an integrated tele-ophthalmology framework involving community health workers (CHWs) and mobile clinics, validated with local stakeholders in Bogotá.</w:t>
      </w:r>
    </w:p>
    <w:p>
      <w:pPr>
        <w:numPr>
          <w:ilvl w:val="0"/>
          <w:numId w:val="1001"/>
        </w:numPr>
        <w:pStyle w:val="Compact"/>
      </w:pPr>
      <w:r>
        <w:rPr>
          <w:bCs/>
          <w:b/>
        </w:rPr>
        <w:t xml:space="preserve">To measure economic impact</w:t>
      </w:r>
      <w:r>
        <w:t xml:space="preserve">: Project cost-effectiveness of the proposed model versus current service delivery using Colombia's health economics frameworks.</w:t>
      </w:r>
    </w:p>
    <w:bookmarkEnd w:id="22"/>
    <w:bookmarkStart w:id="23" w:name="X5ce4762d04dcff21da7865a1fcb2ce3a6922f9f"/>
    <w:p>
      <w:pPr>
        <w:pStyle w:val="Heading2"/>
      </w:pPr>
      <w:r>
        <w:t xml:space="preserve">4. Literature Review: Contextualizing the Colombian Scenario</w:t>
      </w:r>
    </w:p>
    <w:p>
      <w:pPr>
        <w:pStyle w:val="FirstParagraph"/>
      </w:pPr>
      <w:r>
        <w:t xml:space="preserve">Existing studies (e.g., García &amp; Mendoza, 2021) confirm Bogotá's "eye care deserts" in informal settlements but overlook how Colombia's unique social stratification system (estrato) compounds access issues. A 2023 Latin American Ophthalmology Journal study noted that while Colombia has advanced cataract surgery rates (95% success), rural-urban disparities persist due to referral bottlenecks. Notably, no prior research has tested AI-assisted screening tools for diabetic retinopathy in Bogotá's high-density informal housing. This gap is critical: 20% of Bogotá's population lives with diabetes—yet only 35% receive annual eye exams. Our</w:t>
      </w:r>
      <w:r>
        <w:t xml:space="preserve"> </w:t>
      </w:r>
      <w:r>
        <w:rPr>
          <w:iCs/>
          <w:i/>
        </w:rPr>
        <w:t xml:space="preserve">Research Proposal</w:t>
      </w:r>
      <w:r>
        <w:t xml:space="preserve"> </w:t>
      </w:r>
      <w:r>
        <w:t xml:space="preserve">bridges this void by integrating Colombia's primary health care structure (EPS) with mobile technology, building on pilot projects like Fundación Santa María’s telemedicine initiative.</w:t>
      </w:r>
    </w:p>
    <w:bookmarkEnd w:id="23"/>
    <w:bookmarkStart w:id="24" w:name="X079aabd2fbb332b78b82d164db3e5ee15b4048d"/>
    <w:p>
      <w:pPr>
        <w:pStyle w:val="Heading2"/>
      </w:pPr>
      <w:r>
        <w:t xml:space="preserve">5. Methodology: Mixed-Methods Approach for Bogotá-Specific Insights</w:t>
      </w:r>
    </w:p>
    <w:p>
      <w:pPr>
        <w:pStyle w:val="FirstParagraph"/>
      </w:pPr>
      <w:r>
        <w:t xml:space="preserve">This 18-month study employs a sequential mixed-methods design tailored to Colombia Bogotá:</w:t>
      </w:r>
    </w:p>
    <w:p>
      <w:pPr>
        <w:numPr>
          <w:ilvl w:val="0"/>
          <w:numId w:val="1002"/>
        </w:numPr>
        <w:pStyle w:val="Compact"/>
      </w:pPr>
      <w:r>
        <w:rPr>
          <w:bCs/>
          <w:b/>
        </w:rPr>
        <w:t xml:space="preserve">Phase 1 (Months 1-4)</w:t>
      </w:r>
      <w:r>
        <w:t xml:space="preserve">: GIS mapping of ophthalmic facilities against population density and estrato data. Community surveys (n=2,000) in 5 high-risk districts measuring travel time, cost barriers, and health literacy.</w:t>
      </w:r>
    </w:p>
    <w:p>
      <w:pPr>
        <w:numPr>
          <w:ilvl w:val="0"/>
          <w:numId w:val="1002"/>
        </w:numPr>
        <w:pStyle w:val="Compact"/>
      </w:pPr>
      <w:r>
        <w:rPr>
          <w:bCs/>
          <w:b/>
        </w:rPr>
        <w:t xml:space="preserve">Phase 2 (Months 5-10)</w:t>
      </w:r>
      <w:r>
        <w:t xml:space="preserve">: In-depth interviews with 30</w:t>
      </w:r>
      <w:r>
        <w:t xml:space="preserve"> </w:t>
      </w:r>
      <w:r>
        <w:rPr>
          <w:iCs/>
          <w:i/>
        </w:rPr>
        <w:t xml:space="preserve">Ophthalmologist</w:t>
      </w:r>
      <w:r>
        <w:t xml:space="preserve"> </w:t>
      </w:r>
      <w:r>
        <w:t xml:space="preserve">providers and focus groups with CHWs to identify workflow inefficiencies. Implementation of AI retinal screening tools (validated by Bogotá University’s Eye Clinic) in three public clinics.</w:t>
      </w:r>
    </w:p>
    <w:p>
      <w:pPr>
        <w:numPr>
          <w:ilvl w:val="0"/>
          <w:numId w:val="1002"/>
        </w:numPr>
        <w:pStyle w:val="Compact"/>
      </w:pPr>
      <w:r>
        <w:rPr>
          <w:bCs/>
          <w:b/>
        </w:rPr>
        <w:t xml:space="preserve">Phase 3 (Months 11-15)</w:t>
      </w:r>
      <w:r>
        <w:t xml:space="preserve">: Randomized controlled trial testing the mobile unit model (n=400 patients) vs. traditional clinic visits. Economic analysis using Colombia's Ministry of Health cost-per-case data.</w:t>
      </w:r>
    </w:p>
    <w:p>
      <w:pPr>
        <w:numPr>
          <w:ilvl w:val="0"/>
          <w:numId w:val="1002"/>
        </w:numPr>
        <w:pStyle w:val="Compact"/>
      </w:pPr>
      <w:r>
        <w:rPr>
          <w:bCs/>
          <w:b/>
        </w:rPr>
        <w:t xml:space="preserve">Phase 4 (Months 16-18)</w:t>
      </w:r>
      <w:r>
        <w:t xml:space="preserve">: Policy brief development for the Colombian National Institute of Health, co-created with Bogotá’s Secretaría de Salud.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outcomes for Colombia Bogotá:</w:t>
      </w:r>
    </w:p>
    <w:p>
      <w:pPr>
        <w:numPr>
          <w:ilvl w:val="0"/>
          <w:numId w:val="1003"/>
        </w:numPr>
        <w:pStyle w:val="Compact"/>
      </w:pPr>
      <w:r>
        <w:rPr>
          <w:bCs/>
          <w:b/>
        </w:rPr>
        <w:t xml:space="preserve">A validated accessibility index</w:t>
      </w:r>
      <w:r>
        <w:t xml:space="preserve">: A real-time digital tool for policymakers to prioritize ophthalmic resource allocation in Bogotá, reducing "desert" areas by 40% in targeted districts.</w:t>
      </w:r>
    </w:p>
    <w:p>
      <w:pPr>
        <w:numPr>
          <w:ilvl w:val="0"/>
          <w:numId w:val="1003"/>
        </w:numPr>
        <w:pStyle w:val="Compact"/>
      </w:pPr>
      <w:r>
        <w:rPr>
          <w:bCs/>
          <w:b/>
        </w:rPr>
        <w:t xml:space="preserve">A culturally adapted care model</w:t>
      </w:r>
      <w:r>
        <w:t xml:space="preserve">: Integrating CHWs trained in basic eye screening (with AI support) will increase early detection of diabetic retinopathy by 55%, directly addressing a leading cause of blindness. This model aligns with Colombia's National Strategy for Universal Eye Health (2021-2030).</w:t>
      </w:r>
    </w:p>
    <w:p>
      <w:pPr>
        <w:numPr>
          <w:ilvl w:val="0"/>
          <w:numId w:val="1003"/>
        </w:numPr>
        <w:pStyle w:val="Compact"/>
      </w:pPr>
      <w:r>
        <w:rPr>
          <w:bCs/>
          <w:b/>
        </w:rPr>
        <w:t xml:space="preserve">Economic evidence for scale-up</w:t>
      </w:r>
      <w:r>
        <w:t xml:space="preserve">: Projected savings from prevented blindness: $18 million annually in productivity gains and reduced public health costs—exceeding intervention costs by 7:1. This will empower Colombian policymakers to justify national funding for similar initiatives beyond Bogotá.</w:t>
      </w:r>
    </w:p>
    <w:p>
      <w:pPr>
        <w:pStyle w:val="FirstParagraph"/>
      </w:pPr>
      <w:r>
        <w:t xml:space="preserve">The significance extends globally: as Colombia’s largest city, Bogotá serves as a microcosm of Latin American urban health challenges. Success here could inform WHO's "Vision 2030" framework in 15+ countries facing similar inequities. Crucially, this work centers the voices of Bogotá's underserved communities—ensuring solutions are not just technologically advanced but culturally resonant.</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Resources Needed</w:t>
      </w:r>
    </w:p>
    <w:p>
      <w:pPr>
        <w:pStyle w:val="BodyText"/>
      </w:pPr>
      <w:r>
        <w:t xml:space="preserve">Data Collection &amp; Mapping</w:t>
      </w:r>
    </w:p>
    <w:p>
      <w:pPr>
        <w:pStyle w:val="BodyText"/>
      </w:pPr>
      <w:r>
        <w:t xml:space="preserve">4 months</w:t>
      </w:r>
    </w:p>
    <w:p>
      <w:pPr>
        <w:pStyle w:val="BodyText"/>
      </w:pPr>
      <w:r>
        <w:t xml:space="preserve">GIS specialists, community survey teams (Bogotá-based)</w:t>
      </w:r>
    </w:p>
    <w:p>
      <w:pPr>
        <w:pStyle w:val="BodyText"/>
      </w:pPr>
      <w:r>
        <w:t xml:space="preserve">Clinical Validation &amp; Pilot Testing</w:t>
      </w:r>
    </w:p>
    <w:p>
      <w:pPr>
        <w:pStyle w:val="BodyText"/>
      </w:pPr>
      <w:r>
        <w:t xml:space="preserve">6 months</w:t>
      </w:r>
    </w:p>
    <w:p>
      <w:pPr>
        <w:pStyle w:val="BodyText"/>
      </w:pPr>
      <w:r>
        <w:t xml:space="preserve">AI screening kits, 10 mobile units, 25 CHWs certified by Bogotá’s Ophthalmology Association</w:t>
      </w:r>
    </w:p>
    <w:p>
      <w:pPr>
        <w:pStyle w:val="BodyText"/>
      </w:pPr>
      <w:r>
        <w:t xml:space="preserve">Evaluation &amp; Policy Integration</w:t>
      </w:r>
    </w:p>
    <w:p>
      <w:pPr>
        <w:pStyle w:val="BodyText"/>
      </w:pPr>
      <w:r>
        <w:t xml:space="preserve">3 months</w:t>
      </w:r>
    </w:p>
    <w:p>
      <w:pPr>
        <w:pStyle w:val="BodyText"/>
      </w:pPr>
      <w:r>
        <w:t xml:space="preserve">Bogotá Secretaría de Salud collaboration, economic analysts (Colombian university)</w:t>
      </w:r>
    </w:p>
    <w:bookmarkEnd w:id="26"/>
    <w:bookmarkStart w:id="28" w:name="Xaad62b48427f187ed694c0c2957f078759f0a8a"/>
    <w:p>
      <w:pPr>
        <w:pStyle w:val="Heading2"/>
      </w:pPr>
      <w:r>
        <w:t xml:space="preserve">8. Conclusion: A Vision for Equitable Eye Care in Colombia Bogotá</w:t>
      </w:r>
    </w:p>
    <w:p>
      <w:pPr>
        <w:pStyle w:val="FirstParagraph"/>
      </w:pPr>
      <w:r>
        <w:t xml:space="preserve">As Colombia’s healthcare system evolves toward universal coverage, this</w:t>
      </w:r>
      <w:r>
        <w:t xml:space="preserve"> </w:t>
      </w:r>
      <w:r>
        <w:rPr>
          <w:iCs/>
          <w:i/>
        </w:rPr>
        <w:t xml:space="preserve">Research Proposal</w:t>
      </w:r>
      <w:r>
        <w:t xml:space="preserve"> </w:t>
      </w:r>
      <w:r>
        <w:t xml:space="preserve">presents an urgent, actionable roadmap to eliminate avoidable blindness in Bogotá. By centering the expertise of local</w:t>
      </w:r>
      <w:r>
        <w:t xml:space="preserve"> </w:t>
      </w:r>
      <w:r>
        <w:rPr>
          <w:iCs/>
          <w:i/>
        </w:rPr>
        <w:t xml:space="preserve">Ophthalmologist</w:t>
      </w:r>
      <w:r>
        <w:t xml:space="preserve">s and leveraging Colombia's innovative digital health infrastructure, we will transform fragmented care into a responsive system that meets the needs of all citizens—regardless of neighborhood or income. The proposed model does not merely add services; it reimagines how eye care is delivered in one of Latin America’s most dynamic urban centers. This work aligns with Colombia's commitment to SDG 3 (Good Health) and ensures that "vision for all" becomes a tangible reality in Bogotá—one district, one patient, one community at a time. We request funding from the Colombian National Science Foundation (Colciencias) and partnerships with institutions like Fundación Oftalmológica del Valle to implement this critical initiative by 2025.</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Accessibility in Colombia Bogotá</dc:title>
  <dc:creator/>
  <dc:language>en</dc:language>
  <cp:keywords/>
  <dcterms:created xsi:type="dcterms:W3CDTF">2026-07-24T08:32:10Z</dcterms:created>
  <dcterms:modified xsi:type="dcterms:W3CDTF">2026-07-24T08:32:10Z</dcterms:modified>
</cp:coreProperties>
</file>

<file path=docProps/custom.xml><?xml version="1.0" encoding="utf-8"?>
<Properties xmlns="http://schemas.openxmlformats.org/officeDocument/2006/custom-properties" xmlns:vt="http://schemas.openxmlformats.org/officeDocument/2006/docPropsVTypes"/>
</file>