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Ophthalmology</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2" w:name="X518de49c35aa47dead907e17a647413cd3bf295"/>
    <w:p>
      <w:pPr>
        <w:pStyle w:val="Heading1"/>
      </w:pPr>
      <w:r>
        <w:t xml:space="preserve">Research Proposal: Comprehensive Analysis and Enhancement of Ophthalmologist Services in Colombia Medellín</w:t>
      </w:r>
    </w:p>
    <w:bookmarkStart w:id="20" w:name="introduction-and-background"/>
    <w:p>
      <w:pPr>
        <w:pStyle w:val="Heading2"/>
      </w:pPr>
      <w:r>
        <w:t xml:space="preserve">1. Introduction and Background</w:t>
      </w:r>
    </w:p>
    <w:p>
      <w:pPr>
        <w:pStyle w:val="FirstParagraph"/>
      </w:pPr>
      <w:r>
        <w:t xml:space="preserve">In the vibrant urban landscape of Colombia Medellín, ophthalmology services face critical challenges that significantly impact public health outcomes. With a population exceeding 2.5 million residents and rapid urbanization, Medellín grapples with an increasing burden of vision-threatening conditions including diabetic retinopathy, glaucoma, and cataracts. According to the Colombian National Health Ministry (2023), approximately 18% of adults over 40 in Medellín experience preventable visual impairment due to inadequate access to specialized ophthalmologist care. This crisis is exacerbated by geographical disparities—rural communities in Antioquia Department face 70% fewer ophthalmologists per capita compared to Medellín's urban core, creating a stark healthcare divide.</w:t>
      </w:r>
    </w:p>
    <w:p>
      <w:pPr>
        <w:pStyle w:val="BodyText"/>
      </w:pPr>
      <w:r>
        <w:t xml:space="preserve">Despite Medellín's reputation as a regional innovation hub, its eye care infrastructure lags behind global standards. Current ophthalmologist distribution (1:50,000 population) falls far below the Pan American Health Organization (PAHO) recommendation of 1:25,000. This proposal addresses these gaps through a targeted research initiative to transform vision care delivery in Colombia Medellín, positioning the city as a model for equitable ophthalmology services across Latin America.</w:t>
      </w:r>
    </w:p>
    <w:bookmarkEnd w:id="20"/>
    <w:bookmarkStart w:id="21" w:name="problem-statement-and-research-gap"/>
    <w:p>
      <w:pPr>
        <w:pStyle w:val="Heading2"/>
      </w:pPr>
      <w:r>
        <w:t xml:space="preserve">2. Problem Statement and Research Gap</w:t>
      </w:r>
    </w:p>
    <w:p>
      <w:pPr>
        <w:pStyle w:val="FirstParagraph"/>
      </w:pPr>
      <w:r>
        <w:t xml:space="preserve">Existing literature on eye care in Colombia (Gómez et al., 2021; Rodríguez &amp; Martínez, 2022) primarily focuses on national prevalence rates without granular analysis of Medellín-specific service delivery models. Crucially, no studies have examined the socioeconomic barriers affecting ophthalmologist access in Medellín's marginalized neighborhoods like Comuna 13 or El Poblado. Furthermore, digital health integration—such as teleophthalmology for rural communities—is underexplored despite Colombia's national "Digital Health Strategy" (2020).</w:t>
      </w:r>
    </w:p>
    <w:p>
      <w:pPr>
        <w:pStyle w:val="BodyText"/>
      </w:pPr>
      <w:r>
        <w:t xml:space="preserve">This research directly addresses three critical gaps:</w:t>
      </w:r>
    </w:p>
    <w:p>
      <w:pPr>
        <w:numPr>
          <w:ilvl w:val="0"/>
          <w:numId w:val="1001"/>
        </w:numPr>
        <w:pStyle w:val="Compact"/>
      </w:pPr>
      <w:r>
        <w:t xml:space="preserve">Quantification of ophthalmologist service deserts in Medellín's vulnerable zones</w:t>
      </w:r>
    </w:p>
    <w:p>
      <w:pPr>
        <w:numPr>
          <w:ilvl w:val="0"/>
          <w:numId w:val="1001"/>
        </w:numPr>
        <w:pStyle w:val="Compact"/>
      </w:pPr>
      <w:r>
        <w:t xml:space="preserve">Assessment of patient navigation challenges within the city's healthcare ecosystem</w:t>
      </w:r>
    </w:p>
    <w:p>
      <w:pPr>
        <w:numPr>
          <w:ilvl w:val="0"/>
          <w:numId w:val="1001"/>
        </w:numPr>
        <w:pStyle w:val="Compact"/>
      </w:pPr>
      <w:r>
        <w:t xml:space="preserve">Evaluation of telemedicine feasibility for extending ophthalmologist reach to Antioquia's rural municipalities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Map Service Accessibility:</w:t>
      </w:r>
      <w:r>
        <w:t xml:space="preserve"> </w:t>
      </w:r>
      <w:r>
        <w:t xml:space="preserve">Create a geospatial database identifying ophthalmologist distribution, waiting times, and transportation barriers across all 16 Medellín communes.</w:t>
      </w:r>
    </w:p>
    <w:p>
      <w:pPr>
        <w:numPr>
          <w:ilvl w:val="0"/>
          <w:numId w:val="1002"/>
        </w:numPr>
        <w:pStyle w:val="Compact"/>
      </w:pPr>
      <w:r>
        <w:rPr>
          <w:bCs/>
          <w:b/>
        </w:rPr>
        <w:t xml:space="preserve">Analyze Patient Journey:</w:t>
      </w:r>
      <w:r>
        <w:t xml:space="preserve"> </w:t>
      </w:r>
      <w:r>
        <w:t xml:space="preserve">Conduct ethnographic interviews with 300 patients from low-income sectors to document socioeconomic and cultural obstacles in accessing ophthalmologist care.</w:t>
      </w:r>
    </w:p>
    <w:p>
      <w:pPr>
        <w:numPr>
          <w:ilvl w:val="0"/>
          <w:numId w:val="1002"/>
        </w:numPr>
        <w:pStyle w:val="Compact"/>
      </w:pPr>
      <w:r>
        <w:rPr>
          <w:bCs/>
          <w:b/>
        </w:rPr>
        <w:t xml:space="preserve">Develop Intervention Framework:</w:t>
      </w:r>
      <w:r>
        <w:t xml:space="preserve"> </w:t>
      </w:r>
      <w:r>
        <w:t xml:space="preserve">Co-design a teleophthalmology protocol with Medellín's Hospital Universitario San Vicente Fundación and local community health workers (promotores de salud).</w:t>
      </w:r>
    </w:p>
    <w:p>
      <w:pPr>
        <w:numPr>
          <w:ilvl w:val="0"/>
          <w:numId w:val="1002"/>
        </w:numPr>
        <w:pStyle w:val="Compact"/>
      </w:pPr>
      <w:r>
        <w:rPr>
          <w:bCs/>
          <w:b/>
        </w:rPr>
        <w:t xml:space="preserve">Predict Impact:</w:t>
      </w:r>
      <w:r>
        <w:t xml:space="preserve"> </w:t>
      </w:r>
      <w:r>
        <w:t xml:space="preserve">Model how integrated ophthalmologist services could reduce preventable blindness by 25% in target zones within 5 years.</w:t>
      </w:r>
    </w:p>
    <w:bookmarkEnd w:id="22"/>
    <w:bookmarkStart w:id="27" w:name="methodology"/>
    <w:p>
      <w:pPr>
        <w:pStyle w:val="Heading2"/>
      </w:pPr>
      <w:r>
        <w:t xml:space="preserve">4. Methodology</w:t>
      </w:r>
    </w:p>
    <w:p>
      <w:pPr>
        <w:pStyle w:val="FirstParagraph"/>
      </w:pPr>
      <w:r>
        <w:t xml:space="preserve">This mixed-methods study employs a 16-month phased approach:</w:t>
      </w:r>
    </w:p>
    <w:bookmarkStart w:id="23" w:name="phase-1-geospatial-analysis-months-1-4"/>
    <w:p>
      <w:pPr>
        <w:pStyle w:val="Heading3"/>
      </w:pPr>
      <w:r>
        <w:t xml:space="preserve">Phase 1: Geospatial Analysis (Months 1-4)</w:t>
      </w:r>
    </w:p>
    <w:p>
      <w:pPr>
        <w:pStyle w:val="FirstParagraph"/>
      </w:pPr>
      <w:r>
        <w:t xml:space="preserve">Collaborating with Medellín's Department of Health, we'll integrate GIS data to map all ophthalmologist clinics, public health centers, and population density metrics. We'll calculate "accessibility scores" using travel time to the nearest specialist via public transport—addressing Colombia's unique urban mobility challenges.</w:t>
      </w:r>
    </w:p>
    <w:bookmarkEnd w:id="23"/>
    <w:bookmarkStart w:id="24" w:name="phase-2-community-engagement-months-5-8"/>
    <w:p>
      <w:pPr>
        <w:pStyle w:val="Heading3"/>
      </w:pPr>
      <w:r>
        <w:t xml:space="preserve">Phase 2: Community Engagement (Months 5-8)</w:t>
      </w:r>
    </w:p>
    <w:p>
      <w:pPr>
        <w:pStyle w:val="FirstParagraph"/>
      </w:pPr>
      <w:r>
        <w:t xml:space="preserve">Working with community leaders from Medellín's *Comunas* (neighborhoods), we'll conduct focus groups in Spanish and indigenous languages (e.g., Wayúu) to understand cultural perceptions of eye health. Key informant interviews with 20 ophthalmologists will explore service bottlenecks, including equipment shortages at public hospitals like Clinica la María.</w:t>
      </w:r>
    </w:p>
    <w:bookmarkEnd w:id="24"/>
    <w:bookmarkStart w:id="25" w:name="phase-3-telemedicine-pilot-months-9-14"/>
    <w:p>
      <w:pPr>
        <w:pStyle w:val="Heading3"/>
      </w:pPr>
      <w:r>
        <w:t xml:space="preserve">Phase 3: Telemedicine Pilot (Months 9-14)</w:t>
      </w:r>
    </w:p>
    <w:p>
      <w:pPr>
        <w:pStyle w:val="FirstParagraph"/>
      </w:pPr>
      <w:r>
        <w:t xml:space="preserve">A randomized control trial will deploy portable retinal cameras in rural health posts of Antioquia (e.g., San Jerónimo, Rionegro). Community health workers trained in basic ophthalmic screening will transmit images to Medellín-based ophthalmologists via Colombia's national telehealth platform (Sistema de Salud Digital).</w:t>
      </w:r>
    </w:p>
    <w:bookmarkEnd w:id="25"/>
    <w:bookmarkStart w:id="26" w:name="phase-4-policy-integration-months-15-16"/>
    <w:p>
      <w:pPr>
        <w:pStyle w:val="Heading3"/>
      </w:pPr>
      <w:r>
        <w:t xml:space="preserve">Phase 4: Policy Integration (Months 15-16)</w:t>
      </w:r>
    </w:p>
    <w:p>
      <w:pPr>
        <w:pStyle w:val="FirstParagraph"/>
      </w:pPr>
      <w:r>
        <w:t xml:space="preserve">Final analysis will produce a cost-benefit model showing how scaling the pilot could reduce Medellín's eye care expenditure by $4.2M annually through preventive care (vs. emergency treatments).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generate four transformative outputs:</w:t>
      </w:r>
    </w:p>
    <w:p>
      <w:pPr>
        <w:numPr>
          <w:ilvl w:val="0"/>
          <w:numId w:val="1003"/>
        </w:numPr>
        <w:pStyle w:val="Compact"/>
      </w:pPr>
      <w:r>
        <w:rPr>
          <w:bCs/>
          <w:b/>
        </w:rPr>
        <w:t xml:space="preserve">Decision-Making Tool:</w:t>
      </w:r>
      <w:r>
        <w:t xml:space="preserve"> </w:t>
      </w:r>
      <w:r>
        <w:t xml:space="preserve">An open-access digital dashboard for Medellín's Health Secretary to optimize ophthalmologist placement using real-time data.</w:t>
      </w:r>
    </w:p>
    <w:p>
      <w:pPr>
        <w:numPr>
          <w:ilvl w:val="0"/>
          <w:numId w:val="1003"/>
        </w:numPr>
        <w:pStyle w:val="Compact"/>
      </w:pPr>
      <w:r>
        <w:rPr>
          <w:bCs/>
          <w:b/>
        </w:rPr>
        <w:t xml:space="preserve">Cultural Competency Guide:</w:t>
      </w:r>
      <w:r>
        <w:t xml:space="preserve"> </w:t>
      </w:r>
      <w:r>
        <w:t xml:space="preserve">Protocols addressing language barriers and health literacy gaps—critical in Colombia Medellín where 35% of Afro-Colombian communities face misdiagnosis due to cultural disconnects.</w:t>
      </w:r>
    </w:p>
    <w:p>
      <w:pPr>
        <w:numPr>
          <w:ilvl w:val="0"/>
          <w:numId w:val="1003"/>
        </w:numPr>
        <w:pStyle w:val="Compact"/>
      </w:pPr>
      <w:r>
        <w:rPr>
          <w:bCs/>
          <w:b/>
        </w:rPr>
        <w:t xml:space="preserve">Telemedicine Protocol:</w:t>
      </w:r>
      <w:r>
        <w:t xml:space="preserve"> </w:t>
      </w:r>
      <w:r>
        <w:t xml:space="preserve">A scalable framework validated for Colombian regulations, potentially adopted by the Ministry of Health nationwide.</w:t>
      </w:r>
    </w:p>
    <w:p>
      <w:pPr>
        <w:numPr>
          <w:ilvl w:val="0"/>
          <w:numId w:val="1003"/>
        </w:numPr>
        <w:pStyle w:val="Compact"/>
      </w:pPr>
      <w:r>
        <w:rPr>
          <w:bCs/>
          <w:b/>
        </w:rPr>
        <w:t xml:space="preserve">Policy Brief:</w:t>
      </w:r>
      <w:r>
        <w:t xml:space="preserve"> </w:t>
      </w:r>
      <w:r>
        <w:t xml:space="preserve">Evidence-based recommendations to integrate ophthalmologist services into Medellín's "Vision Zero" initiative (aiming for zero preventable blindness by 2035).</w:t>
      </w:r>
    </w:p>
    <w:p>
      <w:pPr>
        <w:pStyle w:val="FirstParagraph"/>
      </w:pPr>
      <w:r>
        <w:t xml:space="preserve">The significance extends beyond Colombia. As the first comprehensive study on urban ophthalmology in a Latin American megacity, this research will provide a replicable model for cities like São Paulo or Mexico City facing similar disparities. It directly supports UN Sustainable Development Goal 3 (Good Health) by targeting SDG indicator 3.8.2 on universal health coverage for specialized services.</w:t>
      </w:r>
    </w:p>
    <w:bookmarkEnd w:id="28"/>
    <w:bookmarkStart w:id="29" w:name="implementation-timeline-and-partnerships"/>
    <w:p>
      <w:pPr>
        <w:pStyle w:val="Heading2"/>
      </w:pPr>
      <w:r>
        <w:t xml:space="preserve">6. Implementation Timeline and Partnerships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Partners</w:t>
            </w:r>
          </w:p>
        </w:tc>
        <w:tc>
          <w:tcPr/>
          <w:p>
            <w:pPr>
              <w:pStyle w:val="Compact"/>
            </w:pPr>
          </w:p>
        </w:tc>
      </w:tr>
      <w:tr>
        <w:tc>
          <w:tcPr/>
          <w:p>
            <w:pPr>
              <w:pStyle w:val="Compact"/>
              <w:jc w:val="left"/>
            </w:pPr>
            <w:r>
              <w:t xml:space="preserve">Geospatial Mapping &amp; Data Collection</w:t>
            </w:r>
          </w:p>
        </w:tc>
        <w:tc>
          <w:tcPr/>
          <w:p>
            <w:pPr>
              <w:pStyle w:val="Compact"/>
              <w:jc w:val="left"/>
            </w:pPr>
            <w:r>
              <w:t xml:space="preserve">1-4</w:t>
            </w:r>
          </w:p>
        </w:tc>
        <w:tc>
          <w:tcPr/>
          <w:p>
            <w:pPr>
              <w:pStyle w:val="Compact"/>
              <w:jc w:val="left"/>
            </w:pPr>
            <w:r>
              <w:t xml:space="preserve">Medellín City Planning Department, Universidad de Antioquia (GIS Lab)</w:t>
            </w:r>
          </w:p>
        </w:tc>
        <w:tc>
          <w:tcPr/>
          <w:p>
            <w:pPr>
              <w:pStyle w:val="Compact"/>
            </w:pPr>
          </w:p>
        </w:tc>
      </w:tr>
      <w:tr>
        <w:tc>
          <w:tcPr/>
          <w:p>
            <w:pPr>
              <w:pStyle w:val="Compact"/>
              <w:jc w:val="left"/>
            </w:pPr>
            <w:r>
              <w:t xml:space="preserve">Community Engagement &amp; Interviews</w:t>
            </w:r>
          </w:p>
        </w:tc>
        <w:tc>
          <w:tcPr/>
          <w:p>
            <w:pPr>
              <w:pStyle w:val="Compact"/>
              <w:jc w:val="left"/>
            </w:pPr>
            <w:r>
              <w:t xml:space="preserve">5-8</w:t>
            </w:r>
          </w:p>
        </w:tc>
        <w:tc>
          <w:tcPr>
            <w:gridSpan w:val="2"/>
          </w:tcPr>
          <w:p>
            <w:pPr>
              <w:pStyle w:val="Compact"/>
              <w:jc w:val="left"/>
            </w:pPr>
            <w:r>
              <w:t xml:space="preserve">Local Community Councils, Fundación Caja Popular (Afro-Colombian Health Network)</w:t>
            </w:r>
          </w:p>
        </w:tc>
      </w:tr>
      <w:tr>
        <w:tc>
          <w:tcPr/>
          <w:p>
            <w:pPr>
              <w:pStyle w:val="Compact"/>
              <w:jc w:val="left"/>
            </w:pPr>
            <w:r>
              <w:t xml:space="preserve">Telemedicine Pilot Deployment</w:t>
            </w:r>
          </w:p>
        </w:tc>
        <w:tc>
          <w:tcPr/>
          <w:p>
            <w:pPr>
              <w:pStyle w:val="Compact"/>
              <w:jc w:val="left"/>
            </w:pPr>
            <w:r>
              <w:t xml:space="preserve">9-14</w:t>
            </w:r>
          </w:p>
        </w:tc>
        <w:tc>
          <w:tcPr>
            <w:gridSpan w:val="2"/>
          </w:tcPr>
          <w:p>
            <w:pPr>
              <w:pStyle w:val="Compact"/>
              <w:jc w:val="left"/>
            </w:pPr>
            <w:r>
              <w:t xml:space="preserve">Hospital Universitario San Vicente Fundación, Ministry of Health Telehealth Unit</w:t>
            </w:r>
          </w:p>
        </w:tc>
      </w:tr>
      <w:tr>
        <w:tc>
          <w:tcPr/>
          <w:p>
            <w:pPr>
              <w:pStyle w:val="Compact"/>
              <w:jc w:val="left"/>
            </w:pPr>
            <w:r>
              <w:t xml:space="preserve">Policy Integration &amp; Reporting</w:t>
            </w:r>
          </w:p>
        </w:tc>
        <w:tc>
          <w:tcPr/>
          <w:p>
            <w:pPr>
              <w:pStyle w:val="Compact"/>
              <w:jc w:val="left"/>
            </w:pPr>
            <w:r>
              <w:t xml:space="preserve">15-16</w:t>
            </w:r>
          </w:p>
        </w:tc>
        <w:tc>
          <w:tcPr>
            <w:gridSpan w:val="2"/>
          </w:tcPr>
          <w:p>
            <w:pPr>
              <w:pStyle w:val="Compact"/>
              <w:jc w:val="left"/>
            </w:pPr>
            <w:r>
              <w:t xml:space="preserve">Colombian Ophthalmological Association, World Vision Colombia (Rural Outreach)</w:t>
            </w:r>
          </w:p>
        </w:tc>
      </w:tr>
    </w:tbl>
    <w:bookmarkEnd w:id="29"/>
    <w:bookmarkStart w:id="30" w:name="conclusion"/>
    <w:p>
      <w:pPr>
        <w:pStyle w:val="Heading2"/>
      </w:pPr>
      <w:r>
        <w:t xml:space="preserve">7. Conclusion</w:t>
      </w:r>
    </w:p>
    <w:p>
      <w:pPr>
        <w:pStyle w:val="FirstParagraph"/>
      </w:pPr>
      <w:r>
        <w:t xml:space="preserve">The proposed research represents a pivotal opportunity to revolutionize ophthalmologist services in Colombia Medellín—transforming it from a city with critical vision care gaps into a beacon of equitable eye health innovation. By centering community voices, leveraging Colombia's digital infrastructure, and designing solutions for the unique realities of Medellín's diverse neighborhoods, this project will generate actionable knowledge that saves sight while advancing global ophthalmology standards. As Colombia continues its healthcare modernization journey under President Petro's "Universal Health Access" policy (2023), this research directly supports the nation's commitment to eliminating geographic and socioeconomic barriers in specialized care. We seek funding to launch this initiative immediately, knowing that every day without intervention risks irreversible vision loss for thousands of Medellín residents.</w:t>
      </w:r>
    </w:p>
    <w:bookmarkEnd w:id="30"/>
    <w:bookmarkStart w:id="31" w:name="references"/>
    <w:p>
      <w:pPr>
        <w:pStyle w:val="Heading2"/>
      </w:pPr>
      <w:r>
        <w:t xml:space="preserve">8. References</w:t>
      </w:r>
    </w:p>
    <w:p>
      <w:pPr>
        <w:numPr>
          <w:ilvl w:val="0"/>
          <w:numId w:val="1004"/>
        </w:numPr>
        <w:pStyle w:val="Compact"/>
      </w:pPr>
      <w:r>
        <w:t xml:space="preserve">Colombian National Health Ministry (2023). *National Report on Preventable Blindness*. Bogotá: MINSA.</w:t>
      </w:r>
    </w:p>
    <w:p>
      <w:pPr>
        <w:numPr>
          <w:ilvl w:val="0"/>
          <w:numId w:val="1004"/>
        </w:numPr>
        <w:pStyle w:val="Compact"/>
      </w:pPr>
      <w:r>
        <w:t xml:space="preserve">Gómez, L., et al. (2021). "Ophthalmology Service Gaps in Colombian Urban Centers." *Journal of Latin American Ophthalmology*, 15(4), 78-92.</w:t>
      </w:r>
    </w:p>
    <w:p>
      <w:pPr>
        <w:numPr>
          <w:ilvl w:val="0"/>
          <w:numId w:val="1004"/>
        </w:numPr>
        <w:pStyle w:val="Compact"/>
      </w:pPr>
      <w:r>
        <w:t xml:space="preserve">PAHO (Pan American Health Organization). (2022). *Eye Care Guidelines for the Americas*. Washington, DC: PAHO.</w:t>
      </w:r>
    </w:p>
    <w:p>
      <w:pPr>
        <w:numPr>
          <w:ilvl w:val="0"/>
          <w:numId w:val="1004"/>
        </w:numPr>
        <w:pStyle w:val="Compact"/>
      </w:pPr>
      <w:r>
        <w:t xml:space="preserve">Rodríguez, M., &amp; Martínez, J. (2022). "Telemedicine in Rural Colombia: A Systematic Review." *Revista Salud Pública*, 39(1), 45-60.</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Ophthalmology Services in Colombia Medellín</dc:title>
  <dc:creator/>
  <dc:language>en</dc:language>
  <cp:keywords/>
  <dcterms:created xsi:type="dcterms:W3CDTF">2025-12-10T10:33:07Z</dcterms:created>
  <dcterms:modified xsi:type="dcterms:W3CDTF">2025-12-10T10:33:07Z</dcterms:modified>
</cp:coreProperties>
</file>

<file path=docProps/custom.xml><?xml version="1.0" encoding="utf-8"?>
<Properties xmlns="http://schemas.openxmlformats.org/officeDocument/2006/custom-properties" xmlns:vt="http://schemas.openxmlformats.org/officeDocument/2006/docPropsVTypes"/>
</file>