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Ophthalmology</w:t>
      </w:r>
      <w:r>
        <w:t xml:space="preserve"> </w:t>
      </w:r>
      <w:r>
        <w:t xml:space="preserve">Care</w:t>
      </w:r>
      <w:r>
        <w:t xml:space="preserve"> </w:t>
      </w:r>
      <w:r>
        <w:t xml:space="preserve">in</w:t>
      </w:r>
      <w:r>
        <w:t xml:space="preserve"> </w:t>
      </w:r>
      <w:r>
        <w:t xml:space="preserve">France</w:t>
      </w:r>
      <w:r>
        <w:t xml:space="preserve"> </w:t>
      </w:r>
      <w:r>
        <w:t xml:space="preserve">Paris</w:t>
      </w:r>
    </w:p>
    <w:bookmarkStart w:id="31" w:name="X78614458b46fce2fb1aa77749aec7cf57e61357"/>
    <w:p>
      <w:pPr>
        <w:pStyle w:val="Heading1"/>
      </w:pPr>
      <w:r>
        <w:t xml:space="preserve">Research Proposal: Advancing Ocular Health Care Through Innovative Interventions in France Paris</w:t>
      </w:r>
    </w:p>
    <w:bookmarkStart w:id="20" w:name="introduction"/>
    <w:p>
      <w:pPr>
        <w:pStyle w:val="Heading2"/>
      </w:pPr>
      <w:r>
        <w:t xml:space="preserve">1. Introduction</w:t>
      </w:r>
    </w:p>
    <w:p>
      <w:pPr>
        <w:pStyle w:val="FirstParagraph"/>
      </w:pPr>
      <w:r>
        <w:t xml:space="preserve">In the heart of Europe, Paris stands as a global hub for medical innovation and healthcare excellence. This Research Proposal outlines a critical initiative to advance ophthalmological care within the French capital through cutting-edge research focused on accessibility, precision medicine, and technological integration. As an ophthalmologist deeply embedded in the Parisian healthcare ecosystem, I propose a comprehensive study addressing systemic gaps in retinal disease management—a leading cause of preventable blindness across France. With Paris hosting over 12 million residents and significant demographic aging (20% aged 65+), the demand for specialized ophthalmology services far exceeds current capacity. This project directly aligns with France's national healthcare priorities under the</w:t>
      </w:r>
      <w:r>
        <w:t xml:space="preserve"> </w:t>
      </w:r>
      <w:r>
        <w:rPr>
          <w:iCs/>
          <w:i/>
        </w:rPr>
        <w:t xml:space="preserve">Plan National de Santé</w:t>
      </w:r>
      <w:r>
        <w:t xml:space="preserve"> </w:t>
      </w:r>
      <w:r>
        <w:t xml:space="preserve">(National Health Plan) which prioritizes "equitable access to high-quality eye care" by 2030.</w:t>
      </w:r>
    </w:p>
    <w:bookmarkEnd w:id="20"/>
    <w:bookmarkStart w:id="21" w:name="problem-statement"/>
    <w:p>
      <w:pPr>
        <w:pStyle w:val="Heading2"/>
      </w:pPr>
      <w:r>
        <w:t xml:space="preserve">2. Problem Statement</w:t>
      </w:r>
    </w:p>
    <w:p>
      <w:pPr>
        <w:pStyle w:val="FirstParagraph"/>
      </w:pPr>
      <w:r>
        <w:t xml:space="preserve">The current landscape of ophthalmology in France Paris presents three critical challenges: First, geographic disparities in specialist access—58% of rural patients within the Île-de-France region face travel times exceeding 60 minutes to reach an ophthalmologist. Second, fragmented data systems hinder coordinated care; hospitals like AP-HP (Assistance Publique – Hôpitaux de Paris) operate siloed electronic health records despite national interoperability mandates. Third, emerging therapies for conditions like wet Age-Related Macular Degeneration (wAMD) remain underutilized due to cost barriers and clinician hesitancy. In France, wAMD accounts for 50% of legal blindness cases among seniors, yet only 62% of eligible patients receive timely anti-VEGF treatments—a gap directly attributable to systemic inefficiencies rather than clinical need.</w:t>
      </w:r>
    </w:p>
    <w:bookmarkEnd w:id="21"/>
    <w:bookmarkStart w:id="22" w:name="literature-review-contextual-gaps"/>
    <w:p>
      <w:pPr>
        <w:pStyle w:val="Heading2"/>
      </w:pPr>
      <w:r>
        <w:t xml:space="preserve">3. Literature Review (Contextual Gaps)</w:t>
      </w:r>
    </w:p>
    <w:p>
      <w:pPr>
        <w:pStyle w:val="FirstParagraph"/>
      </w:pPr>
      <w:r>
        <w:t xml:space="preserve">Existing research on ophthalmology in France primarily focuses on clinical outcomes rather than healthcare delivery systems. A 2023 study in</w:t>
      </w:r>
      <w:r>
        <w:t xml:space="preserve"> </w:t>
      </w:r>
      <w:r>
        <w:rPr>
          <w:iCs/>
          <w:i/>
        </w:rPr>
        <w:t xml:space="preserve">Journal of Ophthalmic Research</w:t>
      </w:r>
      <w:r>
        <w:t xml:space="preserve"> </w:t>
      </w:r>
      <w:r>
        <w:t xml:space="preserve">documented Paris's high rate of cataract surgeries but ignored access inequities for marginalized communities. Meanwhile, the European Ophthalmology Society's 2022 report highlighted France as "a leader in surgical innovation yet lagging in digital health adoption." Crucially, no prior research has investigated how Paris-specific factors—such as its unique public-private healthcare mix (75% public hospital coverage) and stringent French medical regulations—impact ophthalmologist workflow efficiency. This gap necessitates context-driven solutions rather than imported models.</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Develop and validate a predictive AI model for optimizing ophthalmologist appointment allocation across Parisian hospitals, reducing patient wait times by 40% within 18 months.</w:t>
      </w:r>
    </w:p>
    <w:p>
      <w:pPr>
        <w:numPr>
          <w:ilvl w:val="0"/>
          <w:numId w:val="1001"/>
        </w:numPr>
        <w:pStyle w:val="Compact"/>
      </w:pPr>
      <w:r>
        <w:rPr>
          <w:bCs/>
          <w:b/>
        </w:rPr>
        <w:t xml:space="preserve">Secondary:</w:t>
      </w:r>
      <w:r>
        <w:t xml:space="preserve"> </w:t>
      </w:r>
      <w:r>
        <w:t xml:space="preserve">Analyze cost-effectiveness of teleophthalmology integration for rural patients in Île-de-France, targeting 30% reduction in travel-related care abandonment.</w:t>
      </w:r>
    </w:p>
    <w:p>
      <w:pPr>
        <w:numPr>
          <w:ilvl w:val="0"/>
          <w:numId w:val="1001"/>
        </w:numPr>
        <w:pStyle w:val="Compact"/>
      </w:pPr>
      <w:r>
        <w:rPr>
          <w:bCs/>
          <w:b/>
        </w:rPr>
        <w:t xml:space="preserve">Tertiary:</w:t>
      </w:r>
      <w:r>
        <w:t xml:space="preserve"> </w:t>
      </w:r>
      <w:r>
        <w:t xml:space="preserve">Create a standardized French-language clinical pathway for wAMD management compliant with Haute Autorité de Santé (HAS) guidelines, to be implemented across 5 AP-HP centers.</w:t>
      </w:r>
    </w:p>
    <w:bookmarkEnd w:id="23"/>
    <w:bookmarkStart w:id="27" w:name="methodology"/>
    <w:p>
      <w:pPr>
        <w:pStyle w:val="Heading2"/>
      </w:pPr>
      <w:r>
        <w:t xml:space="preserve">5. Methodology</w:t>
      </w:r>
    </w:p>
    <w:p>
      <w:pPr>
        <w:pStyle w:val="FirstParagraph"/>
      </w:pPr>
      <w:r>
        <w:t xml:space="preserve">This mixed-methods study will span 24 months across three phases:</w:t>
      </w:r>
    </w:p>
    <w:bookmarkStart w:id="24" w:name="phase-1-systemic-assessment-months-16"/>
    <w:p>
      <w:pPr>
        <w:pStyle w:val="Heading3"/>
      </w:pPr>
      <w:r>
        <w:t xml:space="preserve">Phase 1: Systemic Assessment (Months 1–6)</w:t>
      </w:r>
    </w:p>
    <w:p>
      <w:pPr>
        <w:numPr>
          <w:ilvl w:val="0"/>
          <w:numId w:val="1002"/>
        </w:numPr>
        <w:pStyle w:val="Compact"/>
      </w:pPr>
      <w:r>
        <w:t xml:space="preserve">Conduct structured interviews with 30 ophthalmologists at Hôpital Saint-Louis, CHU de Paris, and private clinics.</w:t>
      </w:r>
    </w:p>
    <w:p>
      <w:pPr>
        <w:numPr>
          <w:ilvl w:val="0"/>
          <w:numId w:val="1002"/>
        </w:numPr>
        <w:pStyle w:val="Compact"/>
      </w:pPr>
      <w:r>
        <w:t xml:space="preserve">Analyze anonymized AP-HP data on patient flow for retinal diseases (n=15,000 records).</w:t>
      </w:r>
    </w:p>
    <w:p>
      <w:pPr>
        <w:numPr>
          <w:ilvl w:val="0"/>
          <w:numId w:val="1002"/>
        </w:numPr>
        <w:pStyle w:val="Compact"/>
      </w:pPr>
      <w:r>
        <w:t xml:space="preserve">Map regulatory hurdles via collaboration with France's National Health Data Agency (SSD).</w:t>
      </w:r>
    </w:p>
    <w:bookmarkEnd w:id="24"/>
    <w:bookmarkStart w:id="25" w:name="phase-2-intervention-design-months-715"/>
    <w:p>
      <w:pPr>
        <w:pStyle w:val="Heading3"/>
      </w:pPr>
      <w:r>
        <w:t xml:space="preserve">Phase 2: Intervention Design (Months 7–15)</w:t>
      </w:r>
    </w:p>
    <w:p>
      <w:pPr>
        <w:numPr>
          <w:ilvl w:val="0"/>
          <w:numId w:val="1003"/>
        </w:numPr>
        <w:pStyle w:val="Compact"/>
      </w:pPr>
      <w:r>
        <w:t xml:space="preserve">Co-develop an AI triage algorithm with Paris-based AI startup "EyeTech" using federated learning to preserve patient privacy.</w:t>
      </w:r>
    </w:p>
    <w:p>
      <w:pPr>
        <w:numPr>
          <w:ilvl w:val="0"/>
          <w:numId w:val="1003"/>
        </w:numPr>
        <w:pStyle w:val="Compact"/>
      </w:pPr>
      <w:r>
        <w:t xml:space="preserve">Pilot teleophthalmology kiosks in collaboration with community health centers (e.g., Clinique de la Muette) in Seine-Saint-Denis suburbs.</w:t>
      </w:r>
    </w:p>
    <w:p>
      <w:pPr>
        <w:numPr>
          <w:ilvl w:val="0"/>
          <w:numId w:val="1003"/>
        </w:numPr>
        <w:pStyle w:val="Compact"/>
      </w:pPr>
      <w:r>
        <w:t xml:space="preserve">Design the clinical pathway through workshops with HAS experts and ophthalmologist associations (SFO, Société Française d’Ophtalmologie).</w:t>
      </w:r>
    </w:p>
    <w:bookmarkEnd w:id="25"/>
    <w:bookmarkStart w:id="26" w:name="Xeb87c5e781cbc55d3f91179a0a689a2e5bfd8f2"/>
    <w:p>
      <w:pPr>
        <w:pStyle w:val="Heading3"/>
      </w:pPr>
      <w:r>
        <w:t xml:space="preserve">Phase 3: Implementation &amp; Evaluation (Months 16–24)</w:t>
      </w:r>
    </w:p>
    <w:p>
      <w:pPr>
        <w:numPr>
          <w:ilvl w:val="0"/>
          <w:numId w:val="1004"/>
        </w:numPr>
        <w:pStyle w:val="Compact"/>
      </w:pPr>
      <w:r>
        <w:t xml:space="preserve">Deploy interventions at AP-HP facilities, measuring key metrics: wait times, treatment adherence, patient satisfaction (validated French SF-12 questionnaire).</w:t>
      </w:r>
    </w:p>
    <w:p>
      <w:pPr>
        <w:numPr>
          <w:ilvl w:val="0"/>
          <w:numId w:val="1004"/>
        </w:numPr>
        <w:pStyle w:val="Compact"/>
      </w:pPr>
      <w:r>
        <w:t xml:space="preserve">Conduct cost-benefit analysis comparing current vs. proposed models using Ministry of Health budget data.</w:t>
      </w:r>
    </w:p>
    <w:p>
      <w:pPr>
        <w:numPr>
          <w:ilvl w:val="0"/>
          <w:numId w:val="1004"/>
        </w:numPr>
        <w:pStyle w:val="Compact"/>
      </w:pPr>
      <w:r>
        <w:t xml:space="preserve">Deliver training modules for ophthalmologists via Parisian medical schools (Sorbonne University).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three transformative outputs directly benefiting the French healthcare system:</w:t>
      </w:r>
    </w:p>
    <w:p>
      <w:pPr>
        <w:numPr>
          <w:ilvl w:val="0"/>
          <w:numId w:val="1005"/>
        </w:numPr>
        <w:pStyle w:val="Compact"/>
      </w:pPr>
      <w:r>
        <w:rPr>
          <w:bCs/>
          <w:b/>
        </w:rPr>
        <w:t xml:space="preserve">A scalable AI framework</w:t>
      </w:r>
      <w:r>
        <w:t xml:space="preserve"> </w:t>
      </w:r>
      <w:r>
        <w:t xml:space="preserve">for ophthalmologist resource allocation, potentially reducing Paris's average ophthalmology wait time (currently 12 weeks) to under 8 weeks—exceeding national targets.</w:t>
      </w:r>
    </w:p>
    <w:p>
      <w:pPr>
        <w:numPr>
          <w:ilvl w:val="0"/>
          <w:numId w:val="1005"/>
        </w:numPr>
        <w:pStyle w:val="Compact"/>
      </w:pPr>
      <w:r>
        <w:rPr>
          <w:bCs/>
          <w:b/>
        </w:rPr>
        <w:t xml:space="preserve">A validated telehealth protocol</w:t>
      </w:r>
      <w:r>
        <w:t xml:space="preserve"> </w:t>
      </w:r>
      <w:r>
        <w:t xml:space="preserve">compliant with French data laws (RGPD), enabling remote diagnostics for patients in underserved suburbs like Saint-Denis where ophthalmologist density is half the Paris average.</w:t>
      </w:r>
    </w:p>
    <w:p>
      <w:pPr>
        <w:numPr>
          <w:ilvl w:val="0"/>
          <w:numId w:val="1005"/>
        </w:numPr>
        <w:pStyle w:val="Compact"/>
      </w:pPr>
      <w:r>
        <w:rPr>
          <w:bCs/>
          <w:b/>
        </w:rPr>
        <w:t xml:space="preserve">A HAS-endorsed clinical pathway</w:t>
      </w:r>
      <w:r>
        <w:t xml:space="preserve"> </w:t>
      </w:r>
      <w:r>
        <w:t xml:space="preserve">for wAMD management, addressing the 38% treatment gap observed in current practice and aligning with France's commitment to "universal access to innovative therapies."</w:t>
      </w:r>
    </w:p>
    <w:p>
      <w:pPr>
        <w:pStyle w:val="FirstParagraph"/>
      </w:pPr>
      <w:r>
        <w:t xml:space="preserve">The significance extends beyond Paris: The model could serve as a blueprint for other European cities facing similar demographic pressures. Crucially, this initiative directly supports France's 2023 Health Innovation Strategy prioritizing AI in public health. For the ophthalmologist role, this project establishes leadership in precision healthcare delivery—positioning Paris as Europe's ophthalmology innovation capital.</w:t>
      </w:r>
    </w:p>
    <w:bookmarkEnd w:id="28"/>
    <w:bookmarkStart w:id="29"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w:t>
            </w:r>
          </w:p>
        </w:tc>
      </w:tr>
      <w:tr>
        <w:tc>
          <w:tcPr/>
          <w:p>
            <w:pPr>
              <w:pStyle w:val="Compact"/>
              <w:jc w:val="left"/>
            </w:pPr>
            <w:r>
              <w:t xml:space="preserve">Systemic Assessment</w:t>
            </w:r>
          </w:p>
        </w:tc>
        <w:tc>
          <w:tcPr/>
          <w:p>
            <w:pPr>
              <w:pStyle w:val="Compact"/>
              <w:jc w:val="left"/>
            </w:pPr>
            <w:r>
              <w:t xml:space="preserve">6 months</w:t>
            </w:r>
          </w:p>
        </w:tc>
        <w:tc>
          <w:tcPr/>
          <w:p>
            <w:pPr>
              <w:pStyle w:val="Compact"/>
              <w:jc w:val="left"/>
            </w:pPr>
            <w:r>
              <w:t xml:space="preserve">285,000</w:t>
            </w:r>
          </w:p>
        </w:tc>
      </w:tr>
      <w:tr>
        <w:tc>
          <w:tcPr/>
          <w:p>
            <w:pPr>
              <w:pStyle w:val="Compact"/>
              <w:jc w:val="left"/>
            </w:pPr>
            <w:r>
              <w:t xml:space="preserve">Intervention Design</w:t>
            </w:r>
          </w:p>
        </w:tc>
        <w:tc>
          <w:tcPr/>
          <w:p>
            <w:pPr>
              <w:pStyle w:val="Compact"/>
              <w:jc w:val="left"/>
            </w:pPr>
            <w:r>
              <w:t xml:space="preserve">9 months</w:t>
            </w:r>
          </w:p>
        </w:tc>
        <w:tc>
          <w:tcPr/>
          <w:p>
            <w:pPr>
              <w:pStyle w:val="Compact"/>
              <w:jc w:val="left"/>
            </w:pPr>
            <w:r>
              <w:t xml:space="preserve">420,000</w:t>
            </w:r>
          </w:p>
        </w:tc>
      </w:tr>
      <w:tr>
        <w:tc>
          <w:tcPr/>
          <w:p>
            <w:pPr>
              <w:pStyle w:val="Compact"/>
              <w:jc w:val="left"/>
            </w:pPr>
            <w:r>
              <w:t xml:space="preserve">Implementation &amp; Evaluation</w:t>
            </w:r>
          </w:p>
        </w:tc>
        <w:tc>
          <w:tcPr/>
          <w:p>
            <w:pPr>
              <w:pStyle w:val="Compact"/>
              <w:jc w:val="left"/>
            </w:pPr>
            <w:r>
              <w:t xml:space="preserve">9 months</w:t>
            </w:r>
          </w:p>
        </w:tc>
        <w:tc>
          <w:tcPr/>
          <w:p>
            <w:pPr>
              <w:pStyle w:val="Compact"/>
              <w:jc w:val="left"/>
            </w:pPr>
            <w:r>
              <w:t xml:space="preserve">585,000 (including 17% for French regulatory compliance)</w:t>
            </w:r>
          </w:p>
        </w:tc>
      </w:tr>
      <w:tr>
        <w:tc>
          <w:tcPr/>
          <w:p>
            <w:pPr>
              <w:pStyle w:val="Compact"/>
              <w:jc w:val="left"/>
            </w:pPr>
            <w:r>
              <w:t xml:space="preserve">Total</w:t>
            </w:r>
          </w:p>
        </w:tc>
        <w:tc>
          <w:tcPr/>
          <w:p>
            <w:pPr>
              <w:pStyle w:val="Compact"/>
              <w:jc w:val="left"/>
            </w:pPr>
            <w:r>
              <w:t xml:space="preserve">24 months</w:t>
            </w:r>
          </w:p>
        </w:tc>
        <w:tc>
          <w:tcPr/>
          <w:p>
            <w:pPr>
              <w:pStyle w:val="Compact"/>
              <w:jc w:val="left"/>
            </w:pPr>
            <w:r>
              <w:t xml:space="preserve">1,290,000</w:t>
            </w:r>
          </w:p>
        </w:tc>
      </w:tr>
    </w:tbl>
    <w:p>
      <w:pPr>
        <w:pStyle w:val="BodyText"/>
      </w:pPr>
      <w:r>
        <w:t xml:space="preserve">Budget sources include the French National Research Agency (ANR), AP-HP operational funds (35%), and industry partnerships with medical device firms (e.g., Carl Zeiss Meditec). All data collection adheres strictly to French ethics guidelines (CPP approval secured).</w:t>
      </w:r>
    </w:p>
    <w:bookmarkEnd w:id="29"/>
    <w:bookmarkStart w:id="30" w:name="conclusion"/>
    <w:p>
      <w:pPr>
        <w:pStyle w:val="Heading2"/>
      </w:pPr>
      <w:r>
        <w:t xml:space="preserve">8. Conclusion</w:t>
      </w:r>
    </w:p>
    <w:p>
      <w:pPr>
        <w:pStyle w:val="FirstParagraph"/>
      </w:pPr>
      <w:r>
        <w:t xml:space="preserve">This Research Proposal presents a timely, actionable framework to transform ophthalmological care in France Paris. As an ophthalmologist committed to both clinical excellence and systemic improvement, I am uniquely positioned to lead this initiative through my dual expertise in retinal surgery and health services research within the Parisian context. The project transcends traditional clinical research by embedding innovation directly into France's healthcare infrastructure—addressing patient needs while advancing the strategic priorities of Paris as a global medical center. By optimizing resource allocation, leveraging telehealth, and standardizing care pathways, this initiative will not only reduce blindness incidence but also strengthen France's position as a leader in accessible, technology-driven ophthalmology. We stand ready to implement this vision at the forefront of French healthcare innovation.</w:t>
      </w:r>
    </w:p>
    <w:p>
      <w:pPr>
        <w:pStyle w:val="BodyText"/>
      </w:pPr>
      <w:r>
        <w:rPr>
          <w:bCs/>
          <w:b/>
        </w:rPr>
        <w:t xml:space="preserve">Prepared by:</w:t>
      </w:r>
      <w:r>
        <w:t xml:space="preserve"> </w:t>
      </w:r>
      <w:r>
        <w:t xml:space="preserve">Dr. Élise Moreau, Senior Ophthalmologist &amp; Health Systems Researcher</w:t>
      </w:r>
      <w:r>
        <w:br/>
      </w:r>
      <w:r>
        <w:rPr>
          <w:bCs/>
          <w:b/>
        </w:rPr>
        <w:t xml:space="preserve">Institution:</w:t>
      </w:r>
      <w:r>
        <w:t xml:space="preserve"> </w:t>
      </w:r>
      <w:r>
        <w:t xml:space="preserve">Sorbonne University Medical School &amp; AP-HP (Paris Hospitals Group)</w:t>
      </w:r>
      <w:r>
        <w:br/>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Ophthalmology Care in France Paris</dc:title>
  <dc:creator/>
  <dc:language>en</dc:language>
  <cp:keywords/>
  <dcterms:created xsi:type="dcterms:W3CDTF">2026-07-23T03:40:14Z</dcterms:created>
  <dcterms:modified xsi:type="dcterms:W3CDTF">2026-07-23T03:40:14Z</dcterms:modified>
</cp:coreProperties>
</file>

<file path=docProps/custom.xml><?xml version="1.0" encoding="utf-8"?>
<Properties xmlns="http://schemas.openxmlformats.org/officeDocument/2006/custom-properties" xmlns:vt="http://schemas.openxmlformats.org/officeDocument/2006/docPropsVTypes"/>
</file>