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Healthcare</w:t>
      </w:r>
      <w:r>
        <w:t xml:space="preserve"> </w:t>
      </w:r>
      <w:r>
        <w:t xml:space="preserve">Optimization</w:t>
      </w:r>
      <w:r>
        <w:t xml:space="preserve"> </w:t>
      </w:r>
      <w:r>
        <w:t xml:space="preserve">in</w:t>
      </w:r>
      <w:r>
        <w:t xml:space="preserve"> </w:t>
      </w:r>
      <w:r>
        <w:t xml:space="preserve">Berlin,</w:t>
      </w:r>
      <w:r>
        <w:t xml:space="preserve"> </w:t>
      </w:r>
      <w:r>
        <w:t xml:space="preserve">Germany</w:t>
      </w:r>
    </w:p>
    <w:bookmarkStart w:id="28" w:name="X8ac420a8584cbd16629fec0ddeb70ab40958dec"/>
    <w:p>
      <w:pPr>
        <w:pStyle w:val="Heading1"/>
      </w:pPr>
      <w:r>
        <w:t xml:space="preserve">Research Proposal: Strategic Workforce Analysis and Service Enhancement for Ophthalmologists in Berlin, Germany</w:t>
      </w:r>
    </w:p>
    <w:bookmarkStart w:id="20" w:name="introduction-and-contextual-significance"/>
    <w:p>
      <w:pPr>
        <w:pStyle w:val="Heading2"/>
      </w:pPr>
      <w:r>
        <w:t xml:space="preserve">1. Introduction and Contextual Significance</w:t>
      </w:r>
    </w:p>
    <w:p>
      <w:pPr>
        <w:pStyle w:val="FirstParagraph"/>
      </w:pPr>
      <w:r>
        <w:t xml:space="preserve">The demand for specialized ophthalmological care in Germany, particularly within the dynamic urban landscape of Berlin, has reached a critical juncture. With an aging population and rising prevalence of chronic eye conditions such as diabetic retinopathy, age-related macular degeneration (AMD), and glaucoma, the role of the</w:t>
      </w:r>
      <w:r>
        <w:t xml:space="preserve"> </w:t>
      </w:r>
      <w:r>
        <w:rPr>
          <w:iCs/>
          <w:i/>
        </w:rPr>
        <w:t xml:space="preserve">Ophthalmologist</w:t>
      </w:r>
      <w:r>
        <w:t xml:space="preserve"> </w:t>
      </w:r>
      <w:r>
        <w:t xml:space="preserve">is paramount to maintaining public health standards. Berlin, as Germany's capital city with a population exceeding 3.7 million residents and a highly diverse demographic including significant immigrant communities, faces unique challenges in distributing ophthalmological services equitably across its districts. This research proposal directly addresses the urgent need for evidence-based strategies to optimize the</w:t>
      </w:r>
      <w:r>
        <w:t xml:space="preserve"> </w:t>
      </w:r>
      <w:r>
        <w:rPr>
          <w:iCs/>
          <w:i/>
        </w:rPr>
        <w:t xml:space="preserve">Ophthalmologist</w:t>
      </w:r>
      <w:r>
        <w:t xml:space="preserve"> </w:t>
      </w:r>
      <w:r>
        <w:t xml:space="preserve">workforce and enhance service accessibility within Berlin's healthcare system, aligning with Germany's national health priorities and Berlin's specific municipal planning goals.</w:t>
      </w:r>
    </w:p>
    <w:bookmarkEnd w:id="20"/>
    <w:bookmarkStart w:id="21" w:name="X7b7b49efd852902c40c61b2728d9247a9cbabc1"/>
    <w:p>
      <w:pPr>
        <w:pStyle w:val="Heading2"/>
      </w:pPr>
      <w:r>
        <w:t xml:space="preserve">2. Problem Statement: The Berlin Ophthalmology Crisis</w:t>
      </w:r>
    </w:p>
    <w:p>
      <w:pPr>
        <w:pStyle w:val="FirstParagraph"/>
      </w:pPr>
      <w:r>
        <w:t xml:space="preserve">Current data from the German Federal Statistical Office (Destatis) and the Berlin Health Authority reveals a critical disparity in ophthalmologist distribution within Berlin. While central districts like Charlottenburg-Wilmersdorf boast density levels meeting national benchmarks, peripheral boroughs such as Marzahn-Hellersdorf and Lichtenberg report significantly fewer</w:t>
      </w:r>
      <w:r>
        <w:t xml:space="preserve"> </w:t>
      </w:r>
      <w:r>
        <w:rPr>
          <w:iCs/>
          <w:i/>
        </w:rPr>
        <w:t xml:space="preserve">Ophthalmologist</w:t>
      </w:r>
      <w:r>
        <w:t xml:space="preserve"> </w:t>
      </w:r>
      <w:r>
        <w:t xml:space="preserve">practitioners per capita (1.8 vs. 3.2 specialists per 100,000 inhabitants). This imbalance is exacerbated by the concentration of established clinics in affluent areas, creating "eye care deserts" for low-income and elderly populations in East Berlin. Furthermore, administrative bottlenecks within Berlin's statutory health insurance (SHI) framework often delay access to specialist consultations. Without targeted intervention informed by granular local data, the quality of ophthalmic care for Berlin's residents risks deterioration, directly impacting Germany's healthcare equity goals and burdening public health systems with preventable complications.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geographic and demographic analysis of current ophthalmologist practice locations, patient volumes, and referral patterns across all 12 Berlin boroughs.</w:t>
      </w:r>
    </w:p>
    <w:p>
      <w:pPr>
        <w:numPr>
          <w:ilvl w:val="0"/>
          <w:numId w:val="1001"/>
        </w:numPr>
        <w:pStyle w:val="Compact"/>
      </w:pPr>
      <w:r>
        <w:t xml:space="preserve">To assess patient accessibility barriers (geographic, linguistic, socioeconomic) specifically within underserved Berlin communities through structured surveys and focus groups.</w:t>
      </w:r>
    </w:p>
    <w:p>
      <w:pPr>
        <w:numPr>
          <w:ilvl w:val="0"/>
          <w:numId w:val="1001"/>
        </w:numPr>
        <w:pStyle w:val="Compact"/>
      </w:pPr>
      <w:r>
        <w:t xml:space="preserve">To evaluate the operational efficiency of existing ophthalmology services within Berlin's public hospital network (e.g., Charité – Universitätsmedizin Berlin) and private practice sector.</w:t>
      </w:r>
    </w:p>
    <w:p>
      <w:pPr>
        <w:numPr>
          <w:ilvl w:val="0"/>
          <w:numId w:val="1001"/>
        </w:numPr>
        <w:pStyle w:val="Compact"/>
      </w:pPr>
      <w:r>
        <w:t xml:space="preserve">To develop a data-driven, actionable framework for optimizing ophthalmologist workforce deployment, resource allocation, and telemedicine integration tailored to Berlin's urban context.</w:t>
      </w:r>
    </w:p>
    <w:bookmarkEnd w:id="22"/>
    <w:bookmarkStart w:id="23" w:name="Xfc13690d4610c4261c6b90f3d942904ffab16d1"/>
    <w:p>
      <w:pPr>
        <w:pStyle w:val="Heading2"/>
      </w:pPr>
      <w:r>
        <w:t xml:space="preserve">4. Methodology: A Berlin-Centric Mixed-Methods Approach</w:t>
      </w:r>
    </w:p>
    <w:p>
      <w:pPr>
        <w:pStyle w:val="FirstParagraph"/>
      </w:pPr>
      <w:r>
        <w:t xml:space="preserve">This study employs a rigorous mixed-methods design integrating quantitative data analytics with qualitative stakeholder insights, all grounded in the unique healthcare ecosystem of</w:t>
      </w:r>
      <w:r>
        <w:t xml:space="preserve"> </w:t>
      </w:r>
      <w:r>
        <w:rPr>
          <w:iCs/>
          <w:i/>
        </w:rPr>
        <w:t xml:space="preserve">Germany Berlin</w:t>
      </w:r>
      <w:r>
        <w:t xml:space="preserve">.</w:t>
      </w:r>
    </w:p>
    <w:p>
      <w:pPr>
        <w:pStyle w:val="BodyText"/>
      </w:pPr>
      <w:r>
        <w:rPr>
          <w:bCs/>
          <w:b/>
        </w:rPr>
        <w:t xml:space="preserve">Phase 1: Data Collection &amp; Analysis (Quantitative)</w:t>
      </w:r>
    </w:p>
    <w:p>
      <w:pPr>
        <w:numPr>
          <w:ilvl w:val="0"/>
          <w:numId w:val="1002"/>
        </w:numPr>
        <w:pStyle w:val="Compact"/>
      </w:pPr>
      <w:r>
        <w:t xml:space="preserve">Analyze anonymized patient data from Berlin's statutory health insurance database (GKV-SV) and the Berlin Health Authority, mapping specialist density against population age structure, disease prevalence rates (e.g., diabetes), and socioeconomic indices.</w:t>
      </w:r>
    </w:p>
    <w:p>
      <w:pPr>
        <w:numPr>
          <w:ilvl w:val="0"/>
          <w:numId w:val="1002"/>
        </w:numPr>
        <w:pStyle w:val="Compact"/>
      </w:pPr>
      <w:r>
        <w:t xml:space="preserve">Utilize GIS mapping to visualize accessibility gaps, calculating travel times to the nearest ophthalmologist using Berlin's public transport network and road infrastructure data.</w:t>
      </w:r>
    </w:p>
    <w:p>
      <w:pPr>
        <w:pStyle w:val="FirstParagraph"/>
      </w:pPr>
      <w:r>
        <w:rPr>
          <w:bCs/>
          <w:b/>
        </w:rPr>
        <w:t xml:space="preserve">Phase 2: Stakeholder Engagement (Qualitative)</w:t>
      </w:r>
    </w:p>
    <w:p>
      <w:pPr>
        <w:numPr>
          <w:ilvl w:val="0"/>
          <w:numId w:val="1003"/>
        </w:numPr>
        <w:pStyle w:val="Compact"/>
      </w:pPr>
      <w:r>
        <w:t xml:space="preserve">Conduct semi-structured interviews with 30+ key stakeholders: Ophthalmologists across Berlin boroughs, representatives from the Berlin State Association of Eye Care Physicians (Landesverband Augenärzte Berlin), healthcare administrators from the Senate Department for Health and Social Affairs, and patient advocacy groups serving immigrant communities.</w:t>
      </w:r>
    </w:p>
    <w:p>
      <w:pPr>
        <w:numPr>
          <w:ilvl w:val="0"/>
          <w:numId w:val="1003"/>
        </w:numPr>
        <w:pStyle w:val="Compact"/>
      </w:pPr>
      <w:r>
        <w:t xml:space="preserve">Organize focus groups with 150+ patients from identified underserved districts to document specific barriers (e.g., language difficulties accessing appointments, transportation costs).</w:t>
      </w:r>
    </w:p>
    <w:p>
      <w:pPr>
        <w:pStyle w:val="FirstParagraph"/>
      </w:pPr>
      <w:r>
        <w:rPr>
          <w:bCs/>
          <w:b/>
        </w:rPr>
        <w:t xml:space="preserve">Phase 3: Framework Development</w:t>
      </w:r>
    </w:p>
    <w:p>
      <w:pPr>
        <w:numPr>
          <w:ilvl w:val="0"/>
          <w:numId w:val="1004"/>
        </w:numPr>
        <w:pStyle w:val="Compact"/>
      </w:pPr>
      <w:r>
        <w:t xml:space="preserve">Integrate findings to model optimal ophthalmologist distribution scenarios using Berlin-specific constraints (housing density, transport routes, existing clinic infrastructure).</w:t>
      </w:r>
    </w:p>
    <w:p>
      <w:pPr>
        <w:numPr>
          <w:ilvl w:val="0"/>
          <w:numId w:val="1004"/>
        </w:numPr>
        <w:pStyle w:val="Compact"/>
      </w:pPr>
      <w:r>
        <w:t xml:space="preserve">Design a pilot tele-ophthalmology program integrating with Berlin's existing digital health infrastructure (e.g., the Berlin Health Data Platform), focusing on high-prevalence conditions like diabetic retinopathy screenings in community centers.</w:t>
      </w:r>
    </w:p>
    <w:bookmarkEnd w:id="23"/>
    <w:bookmarkStart w:id="24" w:name="significance-for-germany-and-berlin"/>
    <w:p>
      <w:pPr>
        <w:pStyle w:val="Heading2"/>
      </w:pPr>
      <w:r>
        <w:t xml:space="preserve">5. Significance for Germany and Berlin</w:t>
      </w:r>
    </w:p>
    <w:p>
      <w:pPr>
        <w:pStyle w:val="FirstParagraph"/>
      </w:pPr>
      <w:r>
        <w:t xml:space="preserve">This research directly addresses a pressing challenge within Germany's healthcare system, particularly acute in its most populous city. The findings will provide the Berlin Senate Department for Health with concrete evidence to:</w:t>
      </w:r>
    </w:p>
    <w:p>
      <w:pPr>
        <w:numPr>
          <w:ilvl w:val="0"/>
          <w:numId w:val="1005"/>
        </w:numPr>
        <w:pStyle w:val="Compact"/>
      </w:pPr>
      <w:r>
        <w:t xml:space="preserve">Inform future regional health planning (RVP) decisions targeting ophthalmology service expansion.</w:t>
      </w:r>
    </w:p>
    <w:p>
      <w:pPr>
        <w:numPr>
          <w:ilvl w:val="0"/>
          <w:numId w:val="1005"/>
        </w:numPr>
        <w:pStyle w:val="Compact"/>
      </w:pPr>
      <w:r>
        <w:t xml:space="preserve">Develop incentive structures for ophthalmologists to establish practices in underserved boroughs, aligning with Germany's national "Health Care for All" initiative.</w:t>
      </w:r>
    </w:p>
    <w:p>
      <w:pPr>
        <w:numPr>
          <w:ilvl w:val="0"/>
          <w:numId w:val="1005"/>
        </w:numPr>
        <w:pStyle w:val="Compact"/>
      </w:pPr>
      <w:r>
        <w:t xml:space="preserve">Guide the strategic integration of telemedicine solutions into Berlin's municipal healthcare strategy, leveraging Berlin's status as a leading European tech hub (e.g., collaboration with Charité Digital Health Lab).</w:t>
      </w:r>
    </w:p>
    <w:p>
      <w:pPr>
        <w:pStyle w:val="FirstParagraph"/>
      </w:pPr>
      <w:r>
        <w:t xml:space="preserve">Ultimately, this project will contribute to Germany's goal of achieving equitable access to high-quality specialist care nationwide while serving as a replicable model for other major German cities facing similar demographic shifts. For Berlin specifically, it represents a crucial step towards fulfilling its commitment to "Health Equity in the Capital City" (Gesundheitsgerechtigkeit für Berlin).</w:t>
      </w:r>
    </w:p>
    <w:bookmarkEnd w:id="24"/>
    <w:bookmarkStart w:id="25" w:name="ethical-considerations-and-compliance"/>
    <w:p>
      <w:pPr>
        <w:pStyle w:val="Heading2"/>
      </w:pPr>
      <w:r>
        <w:t xml:space="preserve">6. Ethical Considerations and Compliance</w:t>
      </w:r>
    </w:p>
    <w:p>
      <w:pPr>
        <w:pStyle w:val="FirstParagraph"/>
      </w:pPr>
      <w:r>
        <w:t xml:space="preserve">All data collection will strictly comply with German data protection laws (BDSG, GDPR) and obtain ethical approval from Charité – Universitätsmedizin Berlin's Ethics Committee. Patient anonymity will be rigorously maintained through data aggregation and anonymization protocols. The research design ensures inclusivity by facilitating translation services for non-German speaking participants during qualitative phases, reflecting Berlin's multicultural reality.</w:t>
      </w:r>
    </w:p>
    <w:bookmarkEnd w:id="25"/>
    <w:bookmarkStart w:id="26" w:name="expected-outcomes-and-dissemination"/>
    <w:p>
      <w:pPr>
        <w:pStyle w:val="Heading2"/>
      </w:pPr>
      <w:r>
        <w:t xml:space="preserve">7. Expected Outcomes and Dissemination</w:t>
      </w:r>
    </w:p>
    <w:p>
      <w:pPr>
        <w:pStyle w:val="FirstParagraph"/>
      </w:pPr>
      <w:r>
        <w:t xml:space="preserve">The primary deliverables are a detailed report with district-specific recommendations for the Berlin Senate Department for Health and Social Affairs, a technical white paper on the proposed tele-ophthalmology model, and peer-reviewed publications in German medical journals (e.g., *Der Ophthalmologe*, *Bundesgesundheitsblatt*). A dedicated public webinar will present key findings to Berlin's medical community, patient groups, and policymakers. Crucially, the research framework will be designed for seamless adaptation within Germany's national healthcare planning structures.</w:t>
      </w:r>
    </w:p>
    <w:bookmarkEnd w:id="26"/>
    <w:bookmarkStart w:id="27" w:name="X23bcf5e46618adcfa3677dd0db4acab64f68242"/>
    <w:p>
      <w:pPr>
        <w:pStyle w:val="Heading2"/>
      </w:pPr>
      <w:r>
        <w:t xml:space="preserve">8. Conclusion: A Pathway to Equitable Ophthalmic Care</w:t>
      </w:r>
    </w:p>
    <w:p>
      <w:pPr>
        <w:pStyle w:val="FirstParagraph"/>
      </w:pPr>
      <w:r>
        <w:t xml:space="preserve">The systematic under-prioritization of ophthalmologist workforce distribution in Berlin represents a preventable failure of healthcare equity. This research proposal offers a scientifically robust, locally contextualized roadmap to transform the delivery of ophthalmological services in Germany's capital. By centering Berlin's unique demographic, geographic, and administrative realities, this project moves beyond generic analyses to deliver actionable insights that directly empower policymakers within</w:t>
      </w:r>
      <w:r>
        <w:t xml:space="preserve"> </w:t>
      </w:r>
      <w:r>
        <w:rPr>
          <w:iCs/>
          <w:i/>
        </w:rPr>
        <w:t xml:space="preserve">Germany Berlin</w:t>
      </w:r>
      <w:r>
        <w:t xml:space="preserve"> </w:t>
      </w:r>
      <w:r>
        <w:t xml:space="preserve">to ensure every resident has timely access to essential eye care. The success of this initiative will not only improve the visual health outcomes of millions in Berlin but also establish a benchmark for optimizing specialist care delivery across Germany and Europe, proving the indispensable role of the modern</w:t>
      </w:r>
      <w:r>
        <w:t xml:space="preserve"> </w:t>
      </w:r>
      <w:r>
        <w:rPr>
          <w:iCs/>
          <w:i/>
        </w:rPr>
        <w:t xml:space="preserve">Ophthalmologist</w:t>
      </w:r>
      <w:r>
        <w:t xml:space="preserve"> </w:t>
      </w:r>
      <w:r>
        <w:t xml:space="preserve">in advancing population health equity within complex urban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Healthcare Optimization in Berlin, Germany</dc:title>
  <dc:creator/>
  <dc:language>en</dc:language>
  <cp:keywords/>
  <dcterms:created xsi:type="dcterms:W3CDTF">2026-07-20T05:06:40Z</dcterms:created>
  <dcterms:modified xsi:type="dcterms:W3CDTF">2026-07-20T05:06:40Z</dcterms:modified>
</cp:coreProperties>
</file>

<file path=docProps/custom.xml><?xml version="1.0" encoding="utf-8"?>
<Properties xmlns="http://schemas.openxmlformats.org/officeDocument/2006/custom-properties" xmlns:vt="http://schemas.openxmlformats.org/officeDocument/2006/docPropsVTypes"/>
</file>