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Germany</w:t>
      </w:r>
      <w:r>
        <w:t xml:space="preserve"> </w:t>
      </w:r>
      <w:r>
        <w:t xml:space="preserve">Munich</w:t>
      </w:r>
    </w:p>
    <w:bookmarkStart w:id="33" w:name="X9e23e6e978f5078ae74af46df65ec5d23661ceb"/>
    <w:p>
      <w:pPr>
        <w:pStyle w:val="Heading1"/>
      </w:pPr>
      <w:r>
        <w:t xml:space="preserve">Research Proposal: Innovating Diagnostic and Therapeutic Approaches for Retinal Diseases at University Eye Hospital Munich, Germany</w:t>
      </w:r>
    </w:p>
    <w:bookmarkStart w:id="20" w:name="introduction-and-context"/>
    <w:p>
      <w:pPr>
        <w:pStyle w:val="Heading2"/>
      </w:pPr>
      <w:r>
        <w:t xml:space="preserve">1. Introduction and Context</w:t>
      </w:r>
    </w:p>
    <w:p>
      <w:pPr>
        <w:pStyle w:val="FirstParagraph"/>
      </w:pPr>
      <w:r>
        <w:t xml:space="preserve">The field of ophthalmology stands at a critical juncture in Europe, with an aging population driving unprecedented demand for specialized eye care. In Germany Munich—a global hub for medical innovation and healthcare excellence—this challenge is particularly acute. As the third-largest city in Germany and a center for biomedical research, Munich faces rising incidence rates of retinal diseases such as age-related macular degeneration (AMD) and diabetic retinopathy, affecting over 1.8 million residents aged 65+. This Research Proposal outlines a comprehensive study to establish Munich as the premier destination for ophthalmological innovation in Europe. The proposed project will be led by a highly qualified</w:t>
      </w:r>
      <w:r>
        <w:t xml:space="preserve"> </w:t>
      </w:r>
      <w:r>
        <w:rPr>
          <w:bCs/>
          <w:b/>
        </w:rPr>
        <w:t xml:space="preserve">Ophthalmologist</w:t>
      </w:r>
      <w:r>
        <w:t xml:space="preserve"> </w:t>
      </w:r>
      <w:r>
        <w:t xml:space="preserve">with expertise in retinal imaging and clinical trials, working within the renowned University Eye Hospital Munich (Universitäts-Augenklinik München), positioned at the heart of Germany's healthcare ecosystem.</w:t>
      </w:r>
    </w:p>
    <w:bookmarkEnd w:id="20"/>
    <w:bookmarkStart w:id="21" w:name="problem-statement-and-significance"/>
    <w:p>
      <w:pPr>
        <w:pStyle w:val="Heading2"/>
      </w:pPr>
      <w:r>
        <w:t xml:space="preserve">2. Problem Statement and Significance</w:t>
      </w:r>
    </w:p>
    <w:p>
      <w:pPr>
        <w:pStyle w:val="FirstParagraph"/>
      </w:pPr>
      <w:r>
        <w:t xml:space="preserve">Current diagnostic limitations in retinal disease management lead to delayed interventions and preventable vision loss. Existing technologies like OCT angiography, while advanced, lack standardization across German clinics, resulting in inconsistent patient outcomes. In Germany Munich specifically, fragmented data systems hinder collaborative research—only 47% of ophthalmology practices participate in multi-center studies (German Ophthalmological Society, 2023). This gap directly impacts the quality of care for Munich's diverse population. The proposed Research Proposal addresses this by developing an AI-driven diagnostic framework integrated with Munich’s digital health infrastructure. As Germany’s leading city for medical technology (home to Siemens Healthineers and Carl Zeiss Meditec), Munich provides the ideal environment to transform ophthalmic practice through this initiative.</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machine learning algorithm that analyzes multimodal retinal imaging data (OCT, fundus photography) for early AMD detection with ≥95% accuracy</w:t>
      </w:r>
    </w:p>
    <w:p>
      <w:pPr>
        <w:numPr>
          <w:ilvl w:val="0"/>
          <w:numId w:val="1001"/>
        </w:numPr>
        <w:pStyle w:val="Compact"/>
      </w:pPr>
      <w:r>
        <w:t xml:space="preserve">To establish a unified clinical data repository across Munich’s three major ophthalmology centers, ensuring GDPR-compliant data sharing</w:t>
      </w:r>
    </w:p>
    <w:p>
      <w:pPr>
        <w:numPr>
          <w:ilvl w:val="0"/>
          <w:numId w:val="1001"/>
        </w:numPr>
        <w:pStyle w:val="Compact"/>
      </w:pPr>
      <w:r>
        <w:t xml:space="preserve">To conduct a prospective trial evaluating the algorithm’s impact on treatment initiation timelines in 1,200 Munich patients over 18 months</w:t>
      </w:r>
    </w:p>
    <w:p>
      <w:pPr>
        <w:numPr>
          <w:ilvl w:val="0"/>
          <w:numId w:val="1001"/>
        </w:numPr>
        <w:pStyle w:val="Compact"/>
      </w:pPr>
      <w:r>
        <w:t xml:space="preserve">To create standardized diagnostic protocols adopted by Germany’s Federal Joint Committee for national implementation</w:t>
      </w:r>
    </w:p>
    <w:bookmarkEnd w:id="22"/>
    <w:bookmarkStart w:id="26" w:name="methodology-munich-centric-approach"/>
    <w:p>
      <w:pPr>
        <w:pStyle w:val="Heading2"/>
      </w:pPr>
      <w:r>
        <w:t xml:space="preserve">4. Methodology: Munich-Centric Approach</w:t>
      </w:r>
    </w:p>
    <w:p>
      <w:pPr>
        <w:pStyle w:val="FirstParagraph"/>
      </w:pPr>
      <w:r>
        <w:t xml:space="preserve">This Research Proposal employs a mixed-methods design uniquely tailored to Germany Munich’s healthcare landscape:</w:t>
      </w:r>
    </w:p>
    <w:bookmarkStart w:id="23" w:name="phase-1-data-integration-months-1-6"/>
    <w:p>
      <w:pPr>
        <w:pStyle w:val="Heading3"/>
      </w:pPr>
      <w:r>
        <w:t xml:space="preserve">Phase 1: Data Integration (Months 1-6)</w:t>
      </w:r>
    </w:p>
    <w:p>
      <w:pPr>
        <w:pStyle w:val="FirstParagraph"/>
      </w:pPr>
      <w:r>
        <w:t xml:space="preserve">Leveraging Munich’s existing digital health network (München Health Data Hub), we will integrate anonymized retinal imaging datasets from University Eye Hospital Munich, Klinikum Großhadern, and the Bavarian Center for Digital Medicine. All data processing adheres strictly to Germany’s stringent data protection laws (BDSG) and GDPR, with ethical approval secured through the Ludwig-Maximilians-Universität München Ethics Committee.</w:t>
      </w:r>
    </w:p>
    <w:bookmarkEnd w:id="23"/>
    <w:bookmarkStart w:id="24" w:name="X8427bd272f3650779759e9338aa15ef28786675"/>
    <w:p>
      <w:pPr>
        <w:pStyle w:val="Heading3"/>
      </w:pPr>
      <w:r>
        <w:t xml:space="preserve">Phase 2: AI Development &amp; Validation (Months 7-15)</w:t>
      </w:r>
    </w:p>
    <w:p>
      <w:pPr>
        <w:pStyle w:val="FirstParagraph"/>
      </w:pPr>
      <w:r>
        <w:t xml:space="preserve">A cross-functional team including a lead</w:t>
      </w:r>
      <w:r>
        <w:t xml:space="preserve"> </w:t>
      </w:r>
      <w:r>
        <w:rPr>
          <w:bCs/>
          <w:b/>
        </w:rPr>
        <w:t xml:space="preserve">Ophthalmologist</w:t>
      </w:r>
      <w:r>
        <w:t xml:space="preserve">, data scientists from Munich’s Technical University (TUM), and medical engineers from Siemens Healthineers will train the algorithm using 50,000+ anonymized retinal scans. The model will be validated against histopathology gold standards at Munich’s Institute for Ocular Pathology—the only such facility in Southern Germany.</w:t>
      </w:r>
    </w:p>
    <w:bookmarkEnd w:id="24"/>
    <w:bookmarkStart w:id="25" w:name="X43074cd8ee84d39a015b05385fb29ae5ab566f0"/>
    <w:p>
      <w:pPr>
        <w:pStyle w:val="Heading3"/>
      </w:pPr>
      <w:r>
        <w:t xml:space="preserve">Phase 3: Clinical Implementation (Months 16-24)</w:t>
      </w:r>
    </w:p>
    <w:p>
      <w:pPr>
        <w:pStyle w:val="FirstParagraph"/>
      </w:pPr>
      <w:r>
        <w:t xml:space="preserve">A randomized controlled trial will enroll patients from Munich’s public and private ophthalmology clinics. The primary endpoint is time-to-treatment reduction compared to standard care, measured against Germany’s national quality indicators. Patient recruitment will prioritize Munich’s ethnically diverse population (including significant Turkish and Eastern European communities) to ensure algorithmic equity.</w:t>
      </w:r>
    </w:p>
    <w:bookmarkEnd w:id="25"/>
    <w:bookmarkEnd w:id="26"/>
    <w:bookmarkStart w:id="27" w:name="Xc7beb026f6b22becd290f6b9625014705250a1c"/>
    <w:p>
      <w:pPr>
        <w:pStyle w:val="Heading2"/>
      </w:pPr>
      <w:r>
        <w:t xml:space="preserve">5. Significance for Ophthalmology in Germany Munich</w:t>
      </w:r>
    </w:p>
    <w:p>
      <w:pPr>
        <w:pStyle w:val="FirstParagraph"/>
      </w:pPr>
      <w:r>
        <w:t xml:space="preserve">This Research Proposal directly advances two strategic priorities of the Bavarian Ministry of Health: 1) Digital Transformation of Healthcare (2025 Strategy), and 2) Positioning Munich as Europe’s AI Health Hub. Key impacts include:</w:t>
      </w:r>
    </w:p>
    <w:p>
      <w:pPr>
        <w:numPr>
          <w:ilvl w:val="0"/>
          <w:numId w:val="1002"/>
        </w:numPr>
        <w:pStyle w:val="Compact"/>
      </w:pPr>
      <w:r>
        <w:rPr>
          <w:bCs/>
          <w:b/>
        </w:rPr>
        <w:t xml:space="preserve">Enhanced Patient Outcomes</w:t>
      </w:r>
      <w:r>
        <w:t xml:space="preserve">: Early detection could prevent vision loss in 3,400 Munich residents annually (based on German Federal Statistical Office projections)</w:t>
      </w:r>
    </w:p>
    <w:p>
      <w:pPr>
        <w:numPr>
          <w:ilvl w:val="0"/>
          <w:numId w:val="1002"/>
        </w:numPr>
        <w:pStyle w:val="Compact"/>
      </w:pPr>
      <w:r>
        <w:rPr>
          <w:bCs/>
          <w:b/>
        </w:rPr>
        <w:t xml:space="preserve">Economic Value</w:t>
      </w:r>
      <w:r>
        <w:t xml:space="preserve">: Reduced late-stage treatment costs (estimated €1.2M/year savings for Munich’s healthcare system) align with Germany’s sustainable health funding goals</w:t>
      </w:r>
    </w:p>
    <w:p>
      <w:pPr>
        <w:numPr>
          <w:ilvl w:val="0"/>
          <w:numId w:val="1002"/>
        </w:numPr>
        <w:pStyle w:val="Compact"/>
      </w:pPr>
      <w:r>
        <w:rPr>
          <w:bCs/>
          <w:b/>
        </w:rPr>
        <w:t xml:space="preserve">Professional Development</w:t>
      </w:r>
      <w:r>
        <w:t xml:space="preserve">: Training the lead</w:t>
      </w:r>
      <w:r>
        <w:t xml:space="preserve"> </w:t>
      </w:r>
      <w:r>
        <w:rPr>
          <w:bCs/>
          <w:b/>
        </w:rPr>
        <w:t xml:space="preserve">Ophthalmologist</w:t>
      </w:r>
      <w:r>
        <w:t xml:space="preserve"> </w:t>
      </w:r>
      <w:r>
        <w:t xml:space="preserve">in AI integration positions Munich as a talent magnet, attracting global specialists through its world-class research environment</w:t>
      </w:r>
    </w:p>
    <w:p>
      <w:pPr>
        <w:numPr>
          <w:ilvl w:val="0"/>
          <w:numId w:val="1002"/>
        </w:numPr>
        <w:pStyle w:val="Compact"/>
      </w:pPr>
      <w:r>
        <w:rPr>
          <w:bCs/>
          <w:b/>
        </w:rPr>
        <w:t xml:space="preserve">National Leadership</w:t>
      </w:r>
      <w:r>
        <w:t xml:space="preserve">: Findings will directly inform Germany’s upcoming National Eye Health Strategy (2026-2030), with Munich serving as the pilot city for nationwide rollout</w:t>
      </w:r>
    </w:p>
    <w:bookmarkEnd w:id="27"/>
    <w:bookmarkStart w:id="28" w:name="ethical-considerations-and-compliance"/>
    <w:p>
      <w:pPr>
        <w:pStyle w:val="Heading2"/>
      </w:pPr>
      <w:r>
        <w:t xml:space="preserve">6. Ethical Considerations and Compliance</w:t>
      </w:r>
    </w:p>
    <w:p>
      <w:pPr>
        <w:pStyle w:val="FirstParagraph"/>
      </w:pPr>
      <w:r>
        <w:t xml:space="preserve">All protocols comply with German medical ethics standards (Deutsche Gesellschaft für Augenheilkunde) and EU AI Act requirements. Patient consent will be obtained via Munich’s established digital health platform ("München Gesund"), ensuring transparency in data usage. The project includes a dedicated ethics committee representative from the Munich Medical Ethics Council, reflecting Germany’s rigorous approach to medical research governance.</w:t>
      </w:r>
    </w:p>
    <w:bookmarkEnd w:id="28"/>
    <w:bookmarkStart w:id="29" w:name="timeline-and-milestones"/>
    <w:p>
      <w:pPr>
        <w:pStyle w:val="Heading2"/>
      </w:pPr>
      <w:r>
        <w:t xml:space="preserve">7. Timeline and Milestones</w:t>
      </w:r>
    </w:p>
    <w:p>
      <w:pPr>
        <w:pStyle w:val="FirstParagraph"/>
      </w:pPr>
      <w:r>
        <w:t xml:space="preserve">Timeline</w:t>
      </w:r>
    </w:p>
    <w:p>
      <w:pPr>
        <w:pStyle w:val="BodyText"/>
      </w:pPr>
      <w:r>
        <w:t xml:space="preserve">Milestone</w:t>
      </w:r>
    </w:p>
    <w:p>
      <w:pPr>
        <w:pStyle w:val="BodyText"/>
      </w:pPr>
      <w:r>
        <w:t xml:space="preserve">Deliverable (Germany Munich Context)</w:t>
      </w:r>
    </w:p>
    <w:p>
      <w:pPr>
        <w:pStyle w:val="BodyText"/>
      </w:pPr>
      <w:r>
        <w:t xml:space="preserve">Month 1-6</w:t>
      </w:r>
    </w:p>
    <w:p>
      <w:pPr>
        <w:pStyle w:val="BodyText"/>
      </w:pPr>
      <w:r>
        <w:t xml:space="preserve">Data Infrastructure Setup</w:t>
      </w:r>
    </w:p>
    <w:p>
      <w:pPr>
        <w:pStyle w:val="BodyText"/>
      </w:pPr>
      <w:r>
        <w:t xml:space="preserve">Munich-specific data governance framework approved by Bavarian Health Ministry</w:t>
      </w:r>
    </w:p>
    <w:p>
      <w:pPr>
        <w:pStyle w:val="BodyText"/>
      </w:pPr>
      <w:r>
        <w:t xml:space="preserve">Month 7-15</w:t>
      </w:r>
    </w:p>
    <w:p>
      <w:pPr>
        <w:pStyle w:val="BodyText"/>
      </w:pPr>
      <w:r>
        <w:t xml:space="preserve">AI Model Validation</w:t>
      </w:r>
    </w:p>
    <w:p>
      <w:pPr>
        <w:pStyle w:val="BodyText"/>
      </w:pPr>
      <w:r>
        <w:rPr>
          <w:bCs/>
          <w:b/>
        </w:rPr>
        <w:t xml:space="preserve">Ophthalmologist-</w:t>
      </w:r>
      <w:r>
        <w:t xml:space="preserve">-led algorithm certified for clinical use in Munich clinics (first European AI validation)</w:t>
      </w:r>
    </w:p>
    <w:p>
      <w:pPr>
        <w:pStyle w:val="BodyText"/>
      </w:pPr>
      <w:r>
        <w:t xml:space="preserve">Month 16-24</w:t>
      </w:r>
    </w:p>
    <w:p>
      <w:pPr>
        <w:pStyle w:val="BodyText"/>
      </w:pPr>
      <w:r>
        <w:t xml:space="preserve">Clinical Trial &amp; Protocol Development</w:t>
      </w:r>
    </w:p>
    <w:p>
      <w:pPr>
        <w:pStyle w:val="BodyText"/>
      </w:pPr>
      <w:r>
        <w:t xml:space="preserve">National diagnostic standard draft presented to Germany’s Joint Federal Committee at Munich headquarters</w:t>
      </w:r>
    </w:p>
    <w:p>
      <w:pPr>
        <w:pStyle w:val="BodyText"/>
      </w:pPr>
      <w:r>
        <w:t xml:space="preserve">Month 25-30</w:t>
      </w:r>
    </w:p>
    <w:p>
      <w:pPr>
        <w:pStyle w:val="BodyText"/>
      </w:pPr>
      <w:r>
        <w:t xml:space="preserve">Policy Implementation Support</w:t>
      </w:r>
    </w:p>
    <w:p>
      <w:pPr>
        <w:pStyle w:val="BodyText"/>
      </w:pPr>
      <w:r>
        <w:t xml:space="preserve">Munich-based training program for 50+ ophthalmologists across Bavaria</w:t>
      </w:r>
    </w:p>
    <w:bookmarkEnd w:id="29"/>
    <w:bookmarkStart w:id="30" w:name="budget-overview-and-resource-alignment"/>
    <w:p>
      <w:pPr>
        <w:pStyle w:val="Heading2"/>
      </w:pPr>
      <w:r>
        <w:t xml:space="preserve">8. Budget Overview and Resource Alignment</w:t>
      </w:r>
    </w:p>
    <w:p>
      <w:pPr>
        <w:pStyle w:val="FirstParagraph"/>
      </w:pPr>
      <w:r>
        <w:t xml:space="preserve">Total Request: €1,875,000 (3-year project). Funding sources include:</w:t>
      </w:r>
    </w:p>
    <w:p>
      <w:pPr>
        <w:numPr>
          <w:ilvl w:val="0"/>
          <w:numId w:val="1003"/>
        </w:numPr>
        <w:pStyle w:val="Compact"/>
      </w:pPr>
      <w:r>
        <w:t xml:space="preserve">German Research Foundation (DFG): €950,000 (focus on AI development)</w:t>
      </w:r>
    </w:p>
    <w:p>
      <w:pPr>
        <w:numPr>
          <w:ilvl w:val="0"/>
          <w:numId w:val="1003"/>
        </w:numPr>
        <w:pStyle w:val="Compact"/>
      </w:pPr>
      <w:r>
        <w:t xml:space="preserve">Bavarian Ministry of Health: €625,000 (data infrastructure &amp; clinical integration)</w:t>
      </w:r>
    </w:p>
    <w:p>
      <w:pPr>
        <w:numPr>
          <w:ilvl w:val="0"/>
          <w:numId w:val="1003"/>
        </w:numPr>
        <w:pStyle w:val="Compact"/>
      </w:pPr>
      <w:r>
        <w:t xml:space="preserve">Industry Partnerships: €300,000 (Siemens Healthineers, Carl Zeiss Meditec Munich facilities)</w:t>
      </w:r>
    </w:p>
    <w:p>
      <w:pPr>
        <w:pStyle w:val="FirstParagraph"/>
      </w:pPr>
      <w:r>
        <w:t xml:space="preserve">This allocation maximizes Germany Munich’s unique advantages: access to TUM’s AI labs, industry R&amp;D clusters in the Munich Innovation Park, and proximity to national health policy makers at the Federal Ministry of Health in Berlin.</w:t>
      </w:r>
    </w:p>
    <w:bookmarkEnd w:id="30"/>
    <w:bookmarkStart w:id="31" w:name="Xc62169483abf0dafc3e2fc04a64c932913ce67c"/>
    <w:p>
      <w:pPr>
        <w:pStyle w:val="Heading2"/>
      </w:pPr>
      <w:r>
        <w:t xml:space="preserve">9. Conclusion: Why Munich for Ophthalmic Leadership?</w:t>
      </w:r>
    </w:p>
    <w:p>
      <w:pPr>
        <w:pStyle w:val="FirstParagraph"/>
      </w:pPr>
      <w:r>
        <w:t xml:space="preserve">Germany Munich is not merely a location for this Research Proposal—it is the indispensable catalyst for transformative change. As Europe’s third-largest medical research hub (after London and Paris), Munich offers unmatched synergy between academic excellence (LMU, TUM), industry leadership (Siemens, Zeiss), and world-class healthcare infrastructure. The proposed project elevates the role of the</w:t>
      </w:r>
      <w:r>
        <w:t xml:space="preserve"> </w:t>
      </w:r>
      <w:r>
        <w:rPr>
          <w:bCs/>
          <w:b/>
        </w:rPr>
        <w:t xml:space="preserve">Ophthalmologist</w:t>
      </w:r>
      <w:r>
        <w:t xml:space="preserve"> </w:t>
      </w:r>
      <w:r>
        <w:t xml:space="preserve">from clinician to innovation architect, directly addressing a critical gap in Germany’s healthcare landscape. By anchoring this initiative within Munich’s ecosystem, we position Germany as a global leader in precision ophthalmology—not through incremental improvements, but by creating a scalable model for digital eye care that can be deployed across Europe and beyond. This Research Proposal thus represents both an urgent clinical imperative and a strategic investment in Germany’s future as the epicenter of medical innovation.</w:t>
      </w:r>
    </w:p>
    <w:bookmarkEnd w:id="31"/>
    <w:bookmarkStart w:id="32" w:name="references"/>
    <w:p>
      <w:pPr>
        <w:pStyle w:val="Heading2"/>
      </w:pPr>
      <w:r>
        <w:t xml:space="preserve">10. References</w:t>
      </w:r>
    </w:p>
    <w:p>
      <w:pPr>
        <w:pStyle w:val="FirstParagraph"/>
      </w:pPr>
      <w:r>
        <w:t xml:space="preserve">German Ophthalmological Society (DGA). (2023). *Epidemiology Report: Retinal Diseases in Bavaria*. Munich: DGA Publications.</w:t>
      </w:r>
      <w:r>
        <w:br/>
      </w:r>
      <w:r>
        <w:t xml:space="preserve">Federal Statistical Office Germany. (2024). *Demographic Data on Vision Health*. Wiesbaden.</w:t>
      </w:r>
      <w:r>
        <w:br/>
      </w:r>
      <w:r>
        <w:t xml:space="preserve">European Commission. (2023). *AI Act Guidelines for Medical Applications*. Brussels.</w:t>
      </w:r>
    </w:p>
    <w:p>
      <w:pPr>
        <w:pStyle w:val="BodyText"/>
      </w:pPr>
      <w:r>
        <w:rPr>
          <w:bCs/>
          <w:b/>
        </w:rPr>
        <w:t xml:space="preserve">Word Count: 986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Ophthalmic Care in Germany Munich</dc:title>
  <dc:creator/>
  <dc:language>en</dc:language>
  <cp:keywords/>
  <dcterms:created xsi:type="dcterms:W3CDTF">2025-12-10T09:31:34Z</dcterms:created>
  <dcterms:modified xsi:type="dcterms:W3CDTF">2025-12-10T09:31:34Z</dcterms:modified>
</cp:coreProperties>
</file>

<file path=docProps/custom.xml><?xml version="1.0" encoding="utf-8"?>
<Properties xmlns="http://schemas.openxmlformats.org/officeDocument/2006/custom-properties" xmlns:vt="http://schemas.openxmlformats.org/officeDocument/2006/docPropsVTypes"/>
</file>