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Accessibility</w:t>
      </w:r>
      <w:r>
        <w:t xml:space="preserve"> </w:t>
      </w:r>
      <w:r>
        <w:t xml:space="preserve">in</w:t>
      </w:r>
      <w:r>
        <w:t xml:space="preserve"> </w:t>
      </w:r>
      <w:r>
        <w:t xml:space="preserve">India</w:t>
      </w:r>
      <w:r>
        <w:t xml:space="preserve"> </w:t>
      </w:r>
      <w:r>
        <w:t xml:space="preserve">Bangalore</w:t>
      </w:r>
    </w:p>
    <w:bookmarkStart w:id="32" w:name="X9ac9d35ff1b52612d381240f674afa8d7575cf9"/>
    <w:p>
      <w:pPr>
        <w:pStyle w:val="Heading1"/>
      </w:pPr>
      <w:r>
        <w:t xml:space="preserve">Research Proposal: Innovating Ophthalmic Care Delivery Models to Address Vision Loss in Urban India Bangalore</w:t>
      </w:r>
    </w:p>
    <w:bookmarkStart w:id="20" w:name="introduction"/>
    <w:p>
      <w:pPr>
        <w:pStyle w:val="Heading2"/>
      </w:pPr>
      <w:r>
        <w:t xml:space="preserve">1. Introduction</w:t>
      </w:r>
    </w:p>
    <w:p>
      <w:pPr>
        <w:pStyle w:val="FirstParagraph"/>
      </w:pPr>
      <w:r>
        <w:t xml:space="preserve">India, home to over 1.4 billion people, faces a critical ophthalmic care deficit with an estimated 40 million blind individuals and 30 million visually impaired persons – the highest burden globally. In Bangalore (Bengaluru), India's tech capital and second-largest city, this crisis is exacerbated by rapid urbanization, inadequate healthcare infrastructure in peripheral neighborhoods, and a severe shortage of qualified eye care professionals. The current research proposal addresses the urgent need for evidence-based solutions to enhance access to specialized ophthalmic services within the unique socioeconomic context of India Bangalore. As a leading metropolis experiencing exponential population growth (projected 12 million residents by 2035), Bangalore demands innovative approaches where every Ophthalmologist can maximize impact through scalable, community-integrated models.</w:t>
      </w:r>
    </w:p>
    <w:bookmarkEnd w:id="20"/>
    <w:bookmarkStart w:id="21" w:name="problem-statement"/>
    <w:p>
      <w:pPr>
        <w:pStyle w:val="Heading2"/>
      </w:pPr>
      <w:r>
        <w:t xml:space="preserve">2. Problem Statement</w:t>
      </w:r>
    </w:p>
    <w:p>
      <w:pPr>
        <w:pStyle w:val="FirstParagraph"/>
      </w:pPr>
      <w:r>
        <w:t xml:space="preserve">Despite Bangalore's status as a healthcare hub with world-class institutions like the L.V. Prasad Eye Institute and Narayana Nethralaya, significant disparities persist. Rural-urban migration has created dense informal settlements where eye care access remains fragmented. Key challenges include: (a) Only 1 Ophthalmologist per 100,000 people (vs. WHO's recommended 1:50,000), concentrated in private clinics; (b) High out-of-pocket expenses deterring low-income patients; (c) Limited teleophthalmology infrastructure outside core hospitals; and (d) Cultural barriers to seeking care for chronic conditions like diabetic retinopathy. This gap results in preventable vision loss among 15% of Bangalore's population over 40 years, disproportionately affecting migrant laborers and elderly populations in peripheral wards like Koramangala and Jayanagar.</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ophthalmic service gaps across Bangalore's administrative zones (15 zones) using spatial analysis and patient survey data.</w:t>
      </w:r>
    </w:p>
    <w:p>
      <w:pPr>
        <w:numPr>
          <w:ilvl w:val="0"/>
          <w:numId w:val="1001"/>
        </w:numPr>
        <w:pStyle w:val="Compact"/>
      </w:pPr>
      <w:r>
        <w:t xml:space="preserve">To develop and pilot a community-based "Ophthalmologist-Community Health Worker" model for early detection of diabetic retinopathy, glaucoma, and cataracts in high-risk neighborhoods.</w:t>
      </w:r>
    </w:p>
    <w:p>
      <w:pPr>
        <w:numPr>
          <w:ilvl w:val="0"/>
          <w:numId w:val="1001"/>
        </w:numPr>
        <w:pStyle w:val="Compact"/>
      </w:pPr>
      <w:r>
        <w:t xml:space="preserve">To evaluate cost-effectiveness of mobile eye clinics integrated with government primary health centers (PHCs) versus private hospital referrals.</w:t>
      </w:r>
    </w:p>
    <w:p>
      <w:pPr>
        <w:numPr>
          <w:ilvl w:val="0"/>
          <w:numId w:val="1001"/>
        </w:numPr>
        <w:pStyle w:val="Compact"/>
      </w:pPr>
      <w:r>
        <w:t xml:space="preserve">To create a digital health dashboard for real-time monitoring of Ophthalmologist deployment and service utilization patterns across Bangalore's healthcare ecosystem.</w:t>
      </w:r>
    </w:p>
    <w:bookmarkEnd w:id="22"/>
    <w:bookmarkStart w:id="26" w:name="methodology"/>
    <w:p>
      <w:pPr>
        <w:pStyle w:val="Heading2"/>
      </w:pPr>
      <w:r>
        <w:t xml:space="preserve">4. Methodology</w:t>
      </w:r>
    </w:p>
    <w:p>
      <w:pPr>
        <w:pStyle w:val="FirstParagraph"/>
      </w:pPr>
      <w:r>
        <w:t xml:space="preserve">This mixed-methods study employs a 3-phase approach over 18 months:</w:t>
      </w:r>
    </w:p>
    <w:bookmarkStart w:id="23" w:name="phase-1-needs-assessment-months-1-6"/>
    <w:p>
      <w:pPr>
        <w:pStyle w:val="Heading3"/>
      </w:pPr>
      <w:r>
        <w:t xml:space="preserve">Phase 1: Needs Assessment (Months 1-6)</w:t>
      </w:r>
    </w:p>
    <w:p>
      <w:pPr>
        <w:numPr>
          <w:ilvl w:val="0"/>
          <w:numId w:val="1002"/>
        </w:numPr>
        <w:pStyle w:val="Compact"/>
      </w:pPr>
      <w:r>
        <w:t xml:space="preserve">Quantitative: GIS mapping of Ophthalmologist density, PHC locations, and population vulnerability indices (using Census data and National Family Health Survey-5).</w:t>
      </w:r>
    </w:p>
    <w:p>
      <w:pPr>
        <w:numPr>
          <w:ilvl w:val="0"/>
          <w:numId w:val="1002"/>
        </w:numPr>
        <w:pStyle w:val="Compact"/>
      </w:pPr>
      <w:r>
        <w:t xml:space="preserve">Qualitative: In-depth interviews with 30+ practicing Ophthalmologists in Bangalore private/public institutions; focus groups with 150 patients from low-income wards.</w:t>
      </w:r>
    </w:p>
    <w:bookmarkEnd w:id="23"/>
    <w:bookmarkStart w:id="24" w:name="X4521d6c2b1768bee239a2945b5023cacd1e74bf"/>
    <w:p>
      <w:pPr>
        <w:pStyle w:val="Heading3"/>
      </w:pPr>
      <w:r>
        <w:t xml:space="preserve">Phase 2: Intervention Design &amp; Pilot (Months 7-14)</w:t>
      </w:r>
    </w:p>
    <w:p>
      <w:pPr>
        <w:numPr>
          <w:ilvl w:val="0"/>
          <w:numId w:val="1003"/>
        </w:numPr>
        <w:pStyle w:val="Compact"/>
      </w:pPr>
      <w:r>
        <w:t xml:space="preserve">Co-designing the "Vision First" model with Bangalore's Municipal Corporation and state health department, training 50 Accredited Social Health Activists (ASHAs) to screen for vision risks using portable retinal cameras.</w:t>
      </w:r>
    </w:p>
    <w:p>
      <w:pPr>
        <w:numPr>
          <w:ilvl w:val="0"/>
          <w:numId w:val="1003"/>
        </w:numPr>
        <w:pStyle w:val="Compact"/>
      </w:pPr>
      <w:r>
        <w:t xml:space="preserve">Deploying 3 mobile clinics staffed by rotating Ophthalmologists to 10 high-need wards, serving as referral hubs for ASHAs. Data collected includes patient demographics, diagnosis rates, treatment adherence, and cost metrics.</w:t>
      </w:r>
    </w:p>
    <w:bookmarkEnd w:id="24"/>
    <w:bookmarkStart w:id="25" w:name="X7110bd015562ebe102eb1bf2daf57ff97d4a26e"/>
    <w:p>
      <w:pPr>
        <w:pStyle w:val="Heading3"/>
      </w:pPr>
      <w:r>
        <w:t xml:space="preserve">Phase 3: Impact Evaluation &amp; Scaling (Months 15-18)</w:t>
      </w:r>
    </w:p>
    <w:p>
      <w:pPr>
        <w:numPr>
          <w:ilvl w:val="0"/>
          <w:numId w:val="1004"/>
        </w:numPr>
        <w:pStyle w:val="Compact"/>
      </w:pPr>
      <w:r>
        <w:t xml:space="preserve">Comparing outcomes (screening uptake, cataract surgery rates) between intervention zones and control areas using quasi-experimental design.</w:t>
      </w:r>
    </w:p>
    <w:p>
      <w:pPr>
        <w:numPr>
          <w:ilvl w:val="0"/>
          <w:numId w:val="1004"/>
        </w:numPr>
        <w:pStyle w:val="Compact"/>
      </w:pPr>
      <w:r>
        <w:t xml:space="preserve">Economic analysis of the model vs. conventional care (cost per successful referral, productivity gains for patients).</w:t>
      </w:r>
    </w:p>
    <w:p>
      <w:pPr>
        <w:numPr>
          <w:ilvl w:val="0"/>
          <w:numId w:val="1004"/>
        </w:numPr>
        <w:pStyle w:val="Compact"/>
      </w:pPr>
      <w:r>
        <w:t xml:space="preserve">Stakeholder workshops with Bangalore Medical Council and National Health Mission to formalize implementation guidelines.</w:t>
      </w:r>
    </w:p>
    <w:bookmarkEnd w:id="25"/>
    <w:bookmarkEnd w:id="26"/>
    <w:bookmarkStart w:id="27" w:name="expected-outcomes"/>
    <w:p>
      <w:pPr>
        <w:pStyle w:val="Heading2"/>
      </w:pPr>
      <w:r>
        <w:t xml:space="preserve">5. Expected Outcomes</w:t>
      </w:r>
    </w:p>
    <w:p>
      <w:pPr>
        <w:pStyle w:val="FirstParagraph"/>
      </w:pPr>
      <w:r>
        <w:t xml:space="preserve">This research will generate actionable insights for India Bangalore's healthcare transformation, including:</w:t>
      </w:r>
    </w:p>
    <w:p>
      <w:pPr>
        <w:numPr>
          <w:ilvl w:val="0"/>
          <w:numId w:val="1005"/>
        </w:numPr>
        <w:pStyle w:val="Compact"/>
      </w:pPr>
      <w:r>
        <w:t xml:space="preserve">A validated community referral pathway reducing Ophthalmologist waiting times by 40% in target areas.</w:t>
      </w:r>
    </w:p>
    <w:p>
      <w:pPr>
        <w:numPr>
          <w:ilvl w:val="0"/>
          <w:numId w:val="1005"/>
        </w:numPr>
        <w:pStyle w:val="Compact"/>
      </w:pPr>
      <w:r>
        <w:t xml:space="preserve">Evidence that mobile clinics with ASHA coordination increase early detection rates by 35% (measured via diabetic retinopathy screenings).</w:t>
      </w:r>
    </w:p>
    <w:p>
      <w:pPr>
        <w:numPr>
          <w:ilvl w:val="0"/>
          <w:numId w:val="1005"/>
        </w:numPr>
        <w:pStyle w:val="Compact"/>
      </w:pPr>
      <w:r>
        <w:t xml:space="preserve">A low-cost digital tool for Bangalore's health department to dynamically allocate Ophthalmologist resources during emergencies or disease outbreaks.</w:t>
      </w:r>
    </w:p>
    <w:p>
      <w:pPr>
        <w:numPr>
          <w:ilvl w:val="0"/>
          <w:numId w:val="1005"/>
        </w:numPr>
        <w:pStyle w:val="Compact"/>
      </w:pPr>
      <w:r>
        <w:t xml:space="preserve">Policy briefs for the Karnataka State Health Department on integrating ophthalmic care into Urban Primary Healthcare Frameworks.</w:t>
      </w:r>
    </w:p>
    <w:bookmarkEnd w:id="27"/>
    <w:bookmarkStart w:id="28" w:name="significance-of-the-study"/>
    <w:p>
      <w:pPr>
        <w:pStyle w:val="Heading2"/>
      </w:pPr>
      <w:r>
        <w:t xml:space="preserve">6. Significance of the Study</w:t>
      </w:r>
    </w:p>
    <w:p>
      <w:pPr>
        <w:pStyle w:val="FirstParagraph"/>
      </w:pPr>
      <w:r>
        <w:t xml:space="preserve">The proposed research directly addresses India's National Programme for Control of Blindness (NPCB) priorities while innovating within Bangalore's urban landscape. Unlike previous studies focusing on rural areas, this proposal centers on a megacity where 70% of India's population will reside by 2050 – making Bangalore a critical testing ground for scalable urban eye care solutions. By positioning the Ophthalmologist as both clinician and system navigator within community health networks, this model empowers existing professionals to serve exponentially more patients without requiring new specialist recruitment. Crucially, it aligns with India's Ayushman Bharat scheme and Bangalore's own "Smart City" vision by leveraging digital infrastructure for equitable care. Success will establish a replicable blueprint for 150+ Indian cities facing similar urban health challenges.</w:t>
      </w:r>
    </w:p>
    <w:bookmarkEnd w:id="28"/>
    <w:bookmarkStart w:id="29" w:name="timeline-and-budget"/>
    <w:p>
      <w:pPr>
        <w:pStyle w:val="Heading2"/>
      </w:pPr>
      <w:r>
        <w:t xml:space="preserve">7. Timeline and Budget</w:t>
      </w:r>
    </w:p>
    <w:p>
      <w:pPr>
        <w:pStyle w:val="FirstParagraph"/>
      </w:pPr>
      <w:r>
        <w:rPr>
          <w:bCs/>
          <w:b/>
        </w:rPr>
        <w:t xml:space="preserve">Key Milestones:</w:t>
      </w:r>
    </w:p>
    <w:p>
      <w:pPr>
        <w:numPr>
          <w:ilvl w:val="0"/>
          <w:numId w:val="1006"/>
        </w:numPr>
        <w:pStyle w:val="Compact"/>
      </w:pPr>
      <w:r>
        <w:t xml:space="preserve">Month 3: Complete GIS mapping &amp; stakeholder agreements with Bangalore Urban District Health Office</w:t>
      </w:r>
    </w:p>
    <w:p>
      <w:pPr>
        <w:numPr>
          <w:ilvl w:val="0"/>
          <w:numId w:val="1006"/>
        </w:numPr>
        <w:pStyle w:val="Compact"/>
      </w:pPr>
      <w:r>
        <w:t xml:space="preserve">Month 9: Launch mobile clinic pilot in 5 wards; train ASHAs</w:t>
      </w:r>
    </w:p>
    <w:p>
      <w:pPr>
        <w:numPr>
          <w:ilvl w:val="0"/>
          <w:numId w:val="1006"/>
        </w:numPr>
        <w:pStyle w:val="Compact"/>
      </w:pPr>
      <w:r>
        <w:t xml:space="preserve">Month 16: Finalize digital dashboard; draft policy recommendations</w:t>
      </w:r>
    </w:p>
    <w:p>
      <w:pPr>
        <w:pStyle w:val="FirstParagraph"/>
      </w:pPr>
      <w:r>
        <w:rPr>
          <w:bCs/>
          <w:b/>
        </w:rPr>
        <w:t xml:space="preserve">Budget Estimate:</w:t>
      </w:r>
      <w:r>
        <w:t xml:space="preserve"> </w:t>
      </w:r>
      <w:r>
        <w:t xml:space="preserve">INR 82,50,000 (approx. USD $103,445), covering personnel (Ophthalmologists, data scientists), mobile clinic operations (vehicles, equipment), ASHA training incentives, and digital platform development. Funding sought from Indian Council of Medical Research (ICMR) and World Health Organization India Office.</w:t>
      </w:r>
    </w:p>
    <w:bookmarkEnd w:id="29"/>
    <w:bookmarkStart w:id="30" w:name="conclusion"/>
    <w:p>
      <w:pPr>
        <w:pStyle w:val="Heading2"/>
      </w:pPr>
      <w:r>
        <w:t xml:space="preserve">8. Conclusion</w:t>
      </w:r>
    </w:p>
    <w:p>
      <w:pPr>
        <w:pStyle w:val="FirstParagraph"/>
      </w:pPr>
      <w:r>
        <w:t xml:space="preserve">This comprehensive Research Proposal presents a vital opportunity to transform eye care delivery in India Bangalore – where the convergence of urban growth, healthcare inequity, and medical expertise creates both an urgent challenge and a unique laboratory for innovation. By embedding the Ophthalmologist within community-driven networks rather than traditional hospital-centric models, we can turn Bangalore from a city with one of India's highest vision loss rates into a global benchmark for accessible ophthalmic care. The research outcomes will directly inform Karnataka's 2025 Health Action Plan and provide transferable solutions for Indian cities nationwide, ultimately contributing to the Sustainable Development Goal 3 (Good Health and Well-being). As we advance this proposal, our commitment is clear: ensuring that every resident of India Bangalore has the right to see their city’s future clearly.</w:t>
      </w:r>
    </w:p>
    <w:bookmarkEnd w:id="30"/>
    <w:bookmarkStart w:id="31" w:name="references"/>
    <w:p>
      <w:pPr>
        <w:pStyle w:val="Heading2"/>
      </w:pPr>
      <w:r>
        <w:t xml:space="preserve">9. References</w:t>
      </w:r>
    </w:p>
    <w:p>
      <w:pPr>
        <w:numPr>
          <w:ilvl w:val="0"/>
          <w:numId w:val="1007"/>
        </w:numPr>
        <w:pStyle w:val="Compact"/>
      </w:pPr>
      <w:r>
        <w:t xml:space="preserve">World Health Organization. (2023). *Global Report on Vision*. Geneva: WHO.</w:t>
      </w:r>
    </w:p>
    <w:p>
      <w:pPr>
        <w:numPr>
          <w:ilvl w:val="0"/>
          <w:numId w:val="1007"/>
        </w:numPr>
        <w:pStyle w:val="Compact"/>
      </w:pPr>
      <w:r>
        <w:t xml:space="preserve">Karnataka State Government, Department of Health &amp; Family Welfare. (2021). *Vision 2035: Strategic Plan for Eye Care in Karnataka*.</w:t>
      </w:r>
    </w:p>
    <w:p>
      <w:pPr>
        <w:numPr>
          <w:ilvl w:val="0"/>
          <w:numId w:val="1007"/>
        </w:numPr>
        <w:pStyle w:val="Compact"/>
      </w:pPr>
      <w:r>
        <w:t xml:space="preserve">Rao, G.N., et al. (2019). "Urban-Rural Disparities in Ophthalmic Services: Evidence from Bangalore." *Indian Journal of Ophthalmology*, 67(8), 1457–1463.</w:t>
      </w:r>
    </w:p>
    <w:p>
      <w:pPr>
        <w:numPr>
          <w:ilvl w:val="0"/>
          <w:numId w:val="1007"/>
        </w:numPr>
        <w:pStyle w:val="Compact"/>
      </w:pPr>
      <w:r>
        <w:t xml:space="preserve">National Programme for Control of Blindness (NPCB). (2022). *Annual Report*. Ministry of Health &amp; Family Welfare, Government of India.</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Accessibility in India Bangalore</dc:title>
  <dc:creator/>
  <dc:language>en</dc:language>
  <cp:keywords/>
  <dcterms:created xsi:type="dcterms:W3CDTF">2026-07-21T04:12:13Z</dcterms:created>
  <dcterms:modified xsi:type="dcterms:W3CDTF">2026-07-21T04:12:13Z</dcterms:modified>
</cp:coreProperties>
</file>

<file path=docProps/custom.xml><?xml version="1.0" encoding="utf-8"?>
<Properties xmlns="http://schemas.openxmlformats.org/officeDocument/2006/custom-properties" xmlns:vt="http://schemas.openxmlformats.org/officeDocument/2006/docPropsVTypes"/>
</file>