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Ophthalmic</w:t>
      </w:r>
      <w:r>
        <w:t xml:space="preserve"> </w:t>
      </w:r>
      <w:r>
        <w:t xml:space="preserve">Care</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Mumbai</w:t>
      </w:r>
      <w:r>
        <w:t xml:space="preserve"> </w:t>
      </w:r>
      <w:r>
        <w:t xml:space="preserve">Focus</w:t>
      </w:r>
    </w:p>
    <w:bookmarkStart w:id="29" w:name="X572db789b88ae09dabede17cacdfd06a2ccb6f3"/>
    <w:p>
      <w:pPr>
        <w:pStyle w:val="Heading1"/>
      </w:pPr>
      <w:r>
        <w:t xml:space="preserve">Research Proposal: Advancing Ophthalmic Care in Urban India - A Mumbai Focus</w:t>
      </w:r>
    </w:p>
    <w:bookmarkStart w:id="20" w:name="i.-introduction-and-background"/>
    <w:p>
      <w:pPr>
        <w:pStyle w:val="Heading2"/>
      </w:pPr>
      <w:r>
        <w:t xml:space="preserve">I. Introduction and Background</w:t>
      </w:r>
    </w:p>
    <w:p>
      <w:pPr>
        <w:pStyle w:val="FirstParagraph"/>
      </w:pPr>
      <w:r>
        <w:t xml:space="preserve">The field of ophthalmology stands at a critical juncture in India, particularly within the rapidly expanding urban metropolis of Mumbai. As the financial and commercial capital of the nation, Mumbai faces a dual burden of escalating eye health challenges stemming from diabetes, environmental pollution, aging demographics, and inequitable access to specialized care. With an estimated 77 million diabetic patients nationwide and Mumbai contributing significantly to this statistic due to its dense urban population and lifestyle factors, diabetic retinopathy (DR) has emerged as the leading cause of blindness in adults under 50. The current landscape reveals a severe shortage of ophthalmologists across India, with a ratio of only 1 ophthalmologist per 100,000 people nationally—a figure that plummets to approximately 1 per 350,000 in Mumbai's underserved slum communities. This research proposal outlines an urgent investigation into scalable diagnostic and intervention models specifically designed for the unique socio-geographic context of Mumbai, led by a dedicated ophthalmologist committed to transforming urban eye care delivery.</w:t>
      </w:r>
    </w:p>
    <w:bookmarkEnd w:id="20"/>
    <w:bookmarkStart w:id="21" w:name="ii.-problem-statement"/>
    <w:p>
      <w:pPr>
        <w:pStyle w:val="Heading2"/>
      </w:pPr>
      <w:r>
        <w:t xml:space="preserve">II. Problem Statement</w:t>
      </w:r>
    </w:p>
    <w:p>
      <w:pPr>
        <w:pStyle w:val="FirstParagraph"/>
      </w:pPr>
      <w:r>
        <w:t xml:space="preserve">Mumbai's ophthalmic infrastructure suffers from systemic fragmentation: specialized centers cluster in affluent suburbs like South Mumbai while marginalized populations in Dharavi, Kala Nagar, and other informal settlements face 6–12 month waiting times for basic eye screenings. Existing teleophthalmology initiatives remain underutilized due to low digital literacy among elderly patients and inadequate integration with primary healthcare networks. Crucially, no comprehensive study has evaluated the cost-effectiveness of mobile screening units staffed by community health workers operating under direct supervision of an ophthalmologist in Mumbai's high-density urban settings. This gap perpetuates late-stage DR diagnosis (reported in 65% of cases at Mumbai hospitals), resulting in irreversible vision loss and immense socioeconomic costs—estimated at ₹2,000 crore annually for treatable blindness alone.</w:t>
      </w:r>
    </w:p>
    <w:bookmarkEnd w:id="21"/>
    <w:bookmarkStart w:id="22" w:name="iii.-research-objectives"/>
    <w:p>
      <w:pPr>
        <w:pStyle w:val="Heading2"/>
      </w:pPr>
      <w:r>
        <w:t xml:space="preserve">III. Research Objectives</w:t>
      </w:r>
    </w:p>
    <w:p>
      <w:pPr>
        <w:numPr>
          <w:ilvl w:val="0"/>
          <w:numId w:val="1001"/>
        </w:numPr>
        <w:pStyle w:val="Compact"/>
      </w:pPr>
      <w:r>
        <w:t xml:space="preserve">To design and validate a mobile ophthalmic screening protocol tailored for Mumbai's urban slums, integrating AI-based retinal image analysis with community health worker (CHW) training.</w:t>
      </w:r>
    </w:p>
    <w:p>
      <w:pPr>
        <w:numPr>
          <w:ilvl w:val="0"/>
          <w:numId w:val="1001"/>
        </w:numPr>
        <w:pStyle w:val="Compact"/>
      </w:pPr>
      <w:r>
        <w:t xml:space="preserve">To assess the diagnostic accuracy of this model against gold-standard hospital-based examinations conducted by a senior ophthalmologist in Mumbai settings.</w:t>
      </w:r>
    </w:p>
    <w:p>
      <w:pPr>
        <w:numPr>
          <w:ilvl w:val="0"/>
          <w:numId w:val="1001"/>
        </w:numPr>
        <w:pStyle w:val="Compact"/>
      </w:pPr>
      <w:r>
        <w:t xml:space="preserve">To evaluate the socioeconomic impact through patient adherence rates, cost per early detection, and reduction in advanced DR cases over 18 months within 5 designated BMC (Brihanmumbai Municipal Corporation) wards.</w:t>
      </w:r>
    </w:p>
    <w:p>
      <w:pPr>
        <w:numPr>
          <w:ilvl w:val="0"/>
          <w:numId w:val="1001"/>
        </w:numPr>
        <w:pStyle w:val="Compact"/>
      </w:pPr>
      <w:r>
        <w:t xml:space="preserve">To develop a sustainable operational framework for scaling this model across Mumbai’s public health system with minimal infrastructure investment.</w:t>
      </w:r>
    </w:p>
    <w:bookmarkEnd w:id="22"/>
    <w:bookmarkStart w:id="23" w:name="iv.-literature-review-and-contextual-gap"/>
    <w:p>
      <w:pPr>
        <w:pStyle w:val="Heading2"/>
      </w:pPr>
      <w:r>
        <w:t xml:space="preserve">IV. Literature Review and Contextual Gap</w:t>
      </w:r>
    </w:p>
    <w:p>
      <w:pPr>
        <w:pStyle w:val="FirstParagraph"/>
      </w:pPr>
      <w:r>
        <w:t xml:space="preserve">While global studies (e.g., Diabetic Retinopathy Screening in UK, 2019) validate teleophthalmology’s efficacy, contextual adaptations for Indian urban poverty are scarce. A 2021 study in Delhi demonstrated 85% sensitivity using AI tools but ignored Mumbai's linguistic diversity (Marathi, Hindi, Urdu speakers), transport barriers in congested neighborhoods, and the critical need for an ophthalmologist-led quality assurance layer. Recent WHO India reports confirm that only 37% of diabetic patients in urban areas receive annual eye exams—a statistic directly linked to Mumbai’s rising blindness rates among working-age adults. This research addresses the absence of a locally engineered, ophthalmologist-anchored solution that bridges clinical expertise with community-level accessibility in India Mumbai.</w:t>
      </w:r>
    </w:p>
    <w:bookmarkEnd w:id="23"/>
    <w:bookmarkStart w:id="24" w:name="v.-methodology"/>
    <w:p>
      <w:pPr>
        <w:pStyle w:val="Heading2"/>
      </w:pPr>
      <w:r>
        <w:t xml:space="preserve">V. Methodology</w:t>
      </w:r>
    </w:p>
    <w:p>
      <w:pPr>
        <w:pStyle w:val="FirstParagraph"/>
      </w:pPr>
      <w:r>
        <w:t xml:space="preserve">This 18-month mixed-methods study will deploy a mobile screening unit (MSU) equipped with portable fundus cameras and AI software validated for Indian retinal pathology, operating under direct clinical supervision of an ophthalmologist from a Mumbai-based tertiary center (e.g., Tata Memorial Hospital). The methodology includes:</w:t>
      </w:r>
    </w:p>
    <w:p>
      <w:pPr>
        <w:numPr>
          <w:ilvl w:val="0"/>
          <w:numId w:val="1002"/>
        </w:numPr>
        <w:pStyle w:val="Compact"/>
      </w:pPr>
      <w:r>
        <w:rPr>
          <w:bCs/>
          <w:b/>
        </w:rPr>
        <w:t xml:space="preserve">Phase 1 (Months 1–3):</w:t>
      </w:r>
      <w:r>
        <w:t xml:space="preserve"> </w:t>
      </w:r>
      <w:r>
        <w:t xml:space="preserve">Community engagement in 5 BMC wards (Dharavi, Govandi, Vikhroli, Chembur, Sion) with CHWs trained to conduct basic screenings and patient mobilization.</w:t>
      </w:r>
    </w:p>
    <w:p>
      <w:pPr>
        <w:numPr>
          <w:ilvl w:val="0"/>
          <w:numId w:val="1002"/>
        </w:numPr>
        <w:pStyle w:val="Compact"/>
      </w:pPr>
      <w:r>
        <w:rPr>
          <w:bCs/>
          <w:b/>
        </w:rPr>
        <w:t xml:space="preserve">Phase 2 (Months 4–15):</w:t>
      </w:r>
      <w:r>
        <w:t xml:space="preserve"> </w:t>
      </w:r>
      <w:r>
        <w:t xml:space="preserve">Deployment of MSU for biweekly screenings; AI-assisted image analysis by the ophthalmologist team; hospital-based confirmatory exams for high-risk cases.</w:t>
      </w:r>
    </w:p>
    <w:p>
      <w:pPr>
        <w:numPr>
          <w:ilvl w:val="0"/>
          <w:numId w:val="1002"/>
        </w:numPr>
        <w:pStyle w:val="Compact"/>
      </w:pPr>
      <w:r>
        <w:rPr>
          <w:bCs/>
          <w:b/>
        </w:rPr>
        <w:t xml:space="preserve">Phase 3 (Months 16–18):</w:t>
      </w:r>
      <w:r>
        <w:t xml:space="preserve"> </w:t>
      </w:r>
      <w:r>
        <w:t xml:space="preserve">Cost-benefit analysis using WHO guidelines, patient satisfaction surveys in local languages, and partnership development with BMC health centers for referral pathways.</w:t>
      </w:r>
    </w:p>
    <w:p>
      <w:pPr>
        <w:pStyle w:val="FirstParagraph"/>
      </w:pPr>
      <w:r>
        <w:t xml:space="preserve">Data collection will include clinical metrics (DR staging via ETDRS scale), socioeconomic indicators (transport costs, work absenteeism), and process measures (screening uptake rates). Statistical analysis will employ SPSS v28 with multivariate regression to isolate the impact of the ophthalmologist-led model versus standard care.</w:t>
      </w:r>
    </w:p>
    <w:bookmarkEnd w:id="24"/>
    <w:bookmarkStart w:id="25" w:name="vi.-expected-outcomes-and-significance"/>
    <w:p>
      <w:pPr>
        <w:pStyle w:val="Heading2"/>
      </w:pPr>
      <w:r>
        <w:t xml:space="preserve">VI. Expected Outcomes and Significance</w:t>
      </w:r>
    </w:p>
    <w:p>
      <w:pPr>
        <w:pStyle w:val="FirstParagraph"/>
      </w:pPr>
      <w:r>
        <w:t xml:space="preserve">We anticipate a 40% increase in early DR detection (stages 1–3) within target communities compared to baseline, reducing advanced DR cases by ≥30%. The ophthalmologist-led model is projected to lower per-patient screening costs by 55% versus hospital-based approaches through optimized resource use. Crucially, this research will generate Mumbai-specific evidence for the National Programme for the Control of Blindness (NPCB), directly informing policy changes in India's urban healthcare strategy. Beyond clinical impact, the proposal establishes a replicable blueprint: an ophthalmologist as the central coordinator ensuring diagnostic integrity while leveraging technology and community networks—addressing both technical and cultural barriers unique to India Mumbai.</w:t>
      </w:r>
    </w:p>
    <w:bookmarkEnd w:id="25"/>
    <w:bookmarkStart w:id="26" w:name="vii.-timeline-and-resource-allocation"/>
    <w:p>
      <w:pPr>
        <w:pStyle w:val="Heading2"/>
      </w:pPr>
      <w:r>
        <w:t xml:space="preserve">VII. Timeline and Resource Allocation</w:t>
      </w:r>
    </w:p>
    <w:p>
      <w:pPr>
        <w:pStyle w:val="FirstParagraph"/>
      </w:pPr>
      <w:r>
        <w:t xml:space="preserve">The study will commence in Q1 2025 with a phased rollout:</w:t>
      </w:r>
    </w:p>
    <w:p>
      <w:pPr>
        <w:numPr>
          <w:ilvl w:val="0"/>
          <w:numId w:val="1003"/>
        </w:numPr>
        <w:pStyle w:val="Compact"/>
      </w:pPr>
      <w:r>
        <w:rPr>
          <w:bCs/>
          <w:b/>
        </w:rPr>
        <w:t xml:space="preserve">Months 1–3:</w:t>
      </w:r>
      <w:r>
        <w:t xml:space="preserve"> </w:t>
      </w:r>
      <w:r>
        <w:t xml:space="preserve">CHW recruitment/training, community sensitization, MSU setup (funded by ₹48 lakh from DBT-India grant)</w:t>
      </w:r>
    </w:p>
    <w:p>
      <w:pPr>
        <w:numPr>
          <w:ilvl w:val="0"/>
          <w:numId w:val="1003"/>
        </w:numPr>
        <w:pStyle w:val="Compact"/>
      </w:pPr>
      <w:r>
        <w:rPr>
          <w:bCs/>
          <w:b/>
        </w:rPr>
        <w:t xml:space="preserve">Months 4–15:</w:t>
      </w:r>
      <w:r>
        <w:t xml:space="preserve"> </w:t>
      </w:r>
      <w:r>
        <w:t xml:space="preserve">Full-scale screening operations; weekly ophthalmologist oversight in Mumbai field sites</w:t>
      </w:r>
    </w:p>
    <w:p>
      <w:pPr>
        <w:numPr>
          <w:ilvl w:val="0"/>
          <w:numId w:val="1003"/>
        </w:numPr>
        <w:pStyle w:val="Compact"/>
      </w:pPr>
      <w:r>
        <w:rPr>
          <w:bCs/>
          <w:b/>
        </w:rPr>
        <w:t xml:space="preserve">Months 16–18:</w:t>
      </w:r>
      <w:r>
        <w:t xml:space="preserve"> </w:t>
      </w:r>
      <w:r>
        <w:t xml:space="preserve">Data analysis, policy briefs for BMC and Ministry of Health, sustainability roadmap</w:t>
      </w:r>
    </w:p>
    <w:bookmarkEnd w:id="26"/>
    <w:bookmarkStart w:id="27" w:name="Xf83d1b219e413d9826b108c16d0d2613e49a0cd"/>
    <w:p>
      <w:pPr>
        <w:pStyle w:val="Heading2"/>
      </w:pPr>
      <w:r>
        <w:t xml:space="preserve">VIII. Conclusion: The Ophthalmologist as Catalyst for Systemic Change</w:t>
      </w:r>
    </w:p>
    <w:p>
      <w:pPr>
        <w:pStyle w:val="FirstParagraph"/>
      </w:pPr>
      <w:r>
        <w:t xml:space="preserve">In the context of India Mumbai’s escalating eye health crisis, this research proposal positions the ophthalmologist not merely as a clinician but as a systems innovator. By embedding clinical expertise within community-driven workflows, we address Mumbai's most pressing ophthalmic challenges: diagnostic delays, accessibility gaps, and resource inefficiencies. The success of this study will provide actionable evidence for scaling similar models across India’s urban centers while delivering immediate benefits to 50,000+ at-risk individuals in Mumbai. As the nation’s largest city exemplifies the complexities of modern urban health delivery, this initiative represents a pivotal step toward achieving Universal Eye Health coverage—a goal that demands dedicated ophthalmologists leading evidence-based transformation in India Mumbai and beyond.</w:t>
      </w:r>
    </w:p>
    <w:bookmarkEnd w:id="27"/>
    <w:bookmarkStart w:id="28" w:name="ix.-references-selected"/>
    <w:p>
      <w:pPr>
        <w:pStyle w:val="Heading2"/>
      </w:pPr>
      <w:r>
        <w:t xml:space="preserve">IX. References (Selected)</w:t>
      </w:r>
    </w:p>
    <w:p>
      <w:pPr>
        <w:numPr>
          <w:ilvl w:val="0"/>
          <w:numId w:val="1004"/>
        </w:numPr>
        <w:pStyle w:val="Compact"/>
      </w:pPr>
      <w:r>
        <w:t xml:space="preserve">World Health Organization. (2023). *Blindness and Visual Impairment in India: Urban-Rural Disparities*. Geneva.</w:t>
      </w:r>
    </w:p>
    <w:p>
      <w:pPr>
        <w:numPr>
          <w:ilvl w:val="0"/>
          <w:numId w:val="1004"/>
        </w:numPr>
        <w:pStyle w:val="Compact"/>
      </w:pPr>
      <w:r>
        <w:t xml:space="preserve">Bharathi, A., et al. (2021). "Teleophthalmology in Delhi Slums: A Feasibility Study." *Indian Journal of Ophthalmology*, 69(5), 1453–1460.</w:t>
      </w:r>
    </w:p>
    <w:p>
      <w:pPr>
        <w:numPr>
          <w:ilvl w:val="0"/>
          <w:numId w:val="1004"/>
        </w:numPr>
        <w:pStyle w:val="Compact"/>
      </w:pPr>
      <w:r>
        <w:t xml:space="preserve">Government of India. (2022). *National Programme for Control of Blindness (NPCB) Annual Report*. Ministry of Health &amp; Family Welfare.</w:t>
      </w:r>
    </w:p>
    <w:p>
      <w:pPr>
        <w:numPr>
          <w:ilvl w:val="0"/>
          <w:numId w:val="1004"/>
        </w:numPr>
        <w:pStyle w:val="Compact"/>
      </w:pPr>
      <w:r>
        <w:t xml:space="preserve">Mumbai Municipal Corporation. (2023). *Urban Health Survey: Diabetes and Eye Care Access in BMC Wards*.</w:t>
      </w:r>
    </w:p>
    <w:p>
      <w:pPr>
        <w:pStyle w:val="FirstParagraph"/>
      </w:pPr>
      <w:r>
        <w:rPr>
          <w:bCs/>
          <w:b/>
        </w:rPr>
        <w:t xml:space="preserve">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Ophthalmic Care in Urban India - A Mumbai Focus</dc:title>
  <dc:creator/>
  <dc:language>en</dc:language>
  <cp:keywords/>
  <dcterms:created xsi:type="dcterms:W3CDTF">2026-07-23T11:08:57Z</dcterms:created>
  <dcterms:modified xsi:type="dcterms:W3CDTF">2026-07-23T11:08:57Z</dcterms:modified>
</cp:coreProperties>
</file>

<file path=docProps/custom.xml><?xml version="1.0" encoding="utf-8"?>
<Properties xmlns="http://schemas.openxmlformats.org/officeDocument/2006/custom-properties" xmlns:vt="http://schemas.openxmlformats.org/officeDocument/2006/docPropsVTypes"/>
</file>