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Ophthalmologist</w:t>
      </w:r>
      <w:r>
        <w:t xml:space="preserve"> </w:t>
      </w:r>
      <w:r>
        <w:t xml:space="preserve">Services</w:t>
      </w:r>
      <w:r>
        <w:t xml:space="preserve"> </w:t>
      </w:r>
      <w:r>
        <w:t xml:space="preserve">in</w:t>
      </w:r>
      <w:r>
        <w:t xml:space="preserve"> </w:t>
      </w:r>
      <w:r>
        <w:t xml:space="preserve">Urban</w:t>
      </w:r>
      <w:r>
        <w:t xml:space="preserve"> </w:t>
      </w:r>
      <w:r>
        <w:t xml:space="preserve">Healthcare</w:t>
      </w:r>
      <w:r>
        <w:t xml:space="preserve"> </w:t>
      </w:r>
      <w:r>
        <w:t xml:space="preserve">-</w:t>
      </w:r>
      <w:r>
        <w:t xml:space="preserve"> </w:t>
      </w:r>
      <w:r>
        <w:t xml:space="preserve">Iran</w:t>
      </w:r>
      <w:r>
        <w:t xml:space="preserve"> </w:t>
      </w:r>
      <w:r>
        <w:t xml:space="preserve">Tehran</w:t>
      </w:r>
    </w:p>
    <w:bookmarkStart w:id="29" w:name="X635cdf929b7129fc0150199896784efd8a590f3"/>
    <w:p>
      <w:pPr>
        <w:pStyle w:val="Heading1"/>
      </w:pPr>
      <w:r>
        <w:t xml:space="preserve">Research Proposal: Advancing Ophthalmological Care Through Specialized Clinical Practice in Tehran, Iran</w:t>
      </w:r>
    </w:p>
    <w:bookmarkStart w:id="20" w:name="introduction-and-background"/>
    <w:p>
      <w:pPr>
        <w:pStyle w:val="Heading2"/>
      </w:pPr>
      <w:r>
        <w:t xml:space="preserve">Introduction and Background</w:t>
      </w:r>
    </w:p>
    <w:p>
      <w:pPr>
        <w:pStyle w:val="FirstParagraph"/>
      </w:pPr>
      <w:r>
        <w:t xml:space="preserve">The city of Tehran, as the capital and most populous metropolis of Iran, faces a growing burden of ocular diseases exacerbated by urbanization, aging demographics, and environmental factors. With over 9 million residents in Tehran province alone (Iran Statistics Center, 2023), the demand for specialized ophthalmological services has surged beyond current capacity. This Research Proposal addresses the critical gap in comprehensive ophthalmologist-led eye care delivery systems within Tehran's public and private healthcare infrastructure. As Iran's medical hub, Tehran hosts numerous teaching hospitals and specialized clinics; yet fragmented services, uneven distribution of qualified ophthalmologists, and limited access for low-income populations persist as systemic challenges. This study positions the Ophthalmologist not merely as a clinician but as a central figure in strategic public health planning for vision preservation across Iran Tehran.</w:t>
      </w:r>
    </w:p>
    <w:bookmarkEnd w:id="20"/>
    <w:bookmarkStart w:id="21" w:name="problem-statement"/>
    <w:p>
      <w:pPr>
        <w:pStyle w:val="Heading2"/>
      </w:pPr>
      <w:r>
        <w:t xml:space="preserve">Problem Statement</w:t>
      </w:r>
    </w:p>
    <w:p>
      <w:pPr>
        <w:pStyle w:val="FirstParagraph"/>
      </w:pPr>
      <w:r>
        <w:t xml:space="preserve">Current data reveals that Iran experiences an estimated 3.5 million cases of preventable blindness annually, with diabetic retinopathy and glaucoma representing the top three causes (Ministry of Health Report, 2022). Tehran specifically faces a severe shortage: only 1.8 ophthalmologists per 100,000 people—far below the World Health Organization's recommended ratio of 5 per 100,000. This disparity is most acute in underserved districts like Shahr-e-Rey and Velenjak, where patients travel over 3 hours for specialized care. The absence of integrated ophthalmologist-led primary eye care networks results in delayed diagnoses and higher rates of irreversible vision loss. Without targeted intervention, the economic burden on Iran's healthcare system will escalate by an estimated 18% annually (World Bank, 2023). This Research Proposal establishes a framework to reconfigure the role of the Ophthalmologist as a primary healthcare coordinator rather than a tertiary specialist.</w:t>
      </w:r>
    </w:p>
    <w:bookmarkEnd w:id="21"/>
    <w:bookmarkStart w:id="22" w:name="literature-review"/>
    <w:p>
      <w:pPr>
        <w:pStyle w:val="Heading2"/>
      </w:pPr>
      <w:r>
        <w:t xml:space="preserve">Literature Review</w:t>
      </w:r>
    </w:p>
    <w:p>
      <w:pPr>
        <w:pStyle w:val="FirstParagraph"/>
      </w:pPr>
      <w:r>
        <w:t xml:space="preserve">Existing studies on ophthalmology in Iran focus predominantly on surgical outcomes (e.g., cataract rates) but neglect systemic workforce planning. A 2021 study by Tehran University of Medical Sciences noted that 65% of ophthalmologists in Tehran work exclusively in hospitals, with minimal outreach to community health centers. Meanwhile, successful models from India's Aravind Eye Care System demonstrate that embedding ophthalmologists within primary care networks reduces referral delays by 40%. Crucially, no research has examined how cultural factors—such as family-based healthcare decision-making prevalent in Iranian society—influence ophthalmologist-patient interactions. This gap necessitates our study to develop culturally attuned delivery models specific to Iran Tehran.</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mapping of ophthalmologist distribution, caseloads, and service accessibility across all 22 Tehran districts.</w:t>
      </w:r>
    </w:p>
    <w:p>
      <w:pPr>
        <w:numPr>
          <w:ilvl w:val="0"/>
          <w:numId w:val="1001"/>
        </w:numPr>
        <w:pStyle w:val="Compact"/>
      </w:pPr>
      <w:r>
        <w:t xml:space="preserve">To evaluate patient journey bottlenecks through mixed-methods analysis (patient surveys + clinic workflow audits) in 15 selected healthcare facilities.</w:t>
      </w:r>
    </w:p>
    <w:p>
      <w:pPr>
        <w:numPr>
          <w:ilvl w:val="0"/>
          <w:numId w:val="1001"/>
        </w:numPr>
        <w:pStyle w:val="Compact"/>
      </w:pPr>
      <w:r>
        <w:t xml:space="preserve">To co-design a scalable "Ophthalmologist-Integrated Primary Care" model with Tehran's Department of Health, incorporating teleophthalmology and community health worker partnerships.</w:t>
      </w:r>
    </w:p>
    <w:p>
      <w:pPr>
        <w:numPr>
          <w:ilvl w:val="0"/>
          <w:numId w:val="1001"/>
        </w:numPr>
        <w:pStyle w:val="Compact"/>
      </w:pPr>
      <w:r>
        <w:t xml:space="preserve">To quantify the economic impact of optimized ophthalmologist deployment on Iran's national healthcare expenditure.</w:t>
      </w:r>
    </w:p>
    <w:bookmarkEnd w:id="23"/>
    <w:bookmarkStart w:id="24" w:name="methodology"/>
    <w:p>
      <w:pPr>
        <w:pStyle w:val="Heading2"/>
      </w:pPr>
      <w:r>
        <w:t xml:space="preserve">Methodology</w:t>
      </w:r>
    </w:p>
    <w:p>
      <w:pPr>
        <w:pStyle w:val="FirstParagraph"/>
      </w:pPr>
      <w:r>
        <w:t xml:space="preserve">This 18-month study employs a sequential mixed-methods approach:</w:t>
      </w:r>
    </w:p>
    <w:p>
      <w:pPr>
        <w:numPr>
          <w:ilvl w:val="0"/>
          <w:numId w:val="1002"/>
        </w:numPr>
        <w:pStyle w:val="Compact"/>
      </w:pPr>
      <w:r>
        <w:rPr>
          <w:bCs/>
          <w:b/>
        </w:rPr>
        <w:t xml:space="preserve">Phase 1 (Months 1-4):</w:t>
      </w:r>
      <w:r>
        <w:t xml:space="preserve"> </w:t>
      </w:r>
      <w:r>
        <w:t xml:space="preserve">Geospatial analysis of ophthalmologist density using Tehran Health Ministry datasets, cross-referenced with WHO blindness prevalence maps. Will identify high-need zones requiring targeted resource allocation.</w:t>
      </w:r>
    </w:p>
    <w:p>
      <w:pPr>
        <w:numPr>
          <w:ilvl w:val="0"/>
          <w:numId w:val="1002"/>
        </w:numPr>
        <w:pStyle w:val="Compact"/>
      </w:pPr>
      <w:r>
        <w:rPr>
          <w:bCs/>
          <w:b/>
        </w:rPr>
        <w:t xml:space="preserve">Phase 2 (Months 5-9):</w:t>
      </w:r>
      <w:r>
        <w:t xml:space="preserve"> </w:t>
      </w:r>
      <w:r>
        <w:t xml:space="preserve">Qualitative interviews with 40+ practicing Ophthalmologists in Tehran, plus focus groups with 120 patients from diverse socioeconomic backgrounds to document systemic barriers.</w:t>
      </w:r>
    </w:p>
    <w:p>
      <w:pPr>
        <w:numPr>
          <w:ilvl w:val="0"/>
          <w:numId w:val="1002"/>
        </w:numPr>
        <w:pStyle w:val="Compact"/>
      </w:pPr>
      <w:r>
        <w:rPr>
          <w:bCs/>
          <w:b/>
        </w:rPr>
        <w:t xml:space="preserve">Phase 3 (Months 10-14):</w:t>
      </w:r>
      <w:r>
        <w:t xml:space="preserve"> </w:t>
      </w:r>
      <w:r>
        <w:t xml:space="preserve">Implementation of pilot clinics in two underserved districts (e.g., Shahr-e-Rey and Eslamshahr), embedding Ophthalmologists with primary care teams. Teleophthalmology platforms will connect remote communities to specialist consultations.</w:t>
      </w:r>
    </w:p>
    <w:p>
      <w:pPr>
        <w:numPr>
          <w:ilvl w:val="0"/>
          <w:numId w:val="1002"/>
        </w:numPr>
        <w:pStyle w:val="Compact"/>
      </w:pPr>
      <w:r>
        <w:rPr>
          <w:bCs/>
          <w:b/>
        </w:rPr>
        <w:t xml:space="preserve">Phase 4 (Months 15-18):</w:t>
      </w:r>
      <w:r>
        <w:t xml:space="preserve"> </w:t>
      </w:r>
      <w:r>
        <w:t xml:space="preserve">Cost-effectiveness analysis comparing current service models versus proposed interventions using Iran's Ministry of Health financial databases.</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transformative outcomes for Iran Tehran:</w:t>
      </w:r>
    </w:p>
    <w:p>
      <w:pPr>
        <w:numPr>
          <w:ilvl w:val="0"/>
          <w:numId w:val="1003"/>
        </w:numPr>
        <w:pStyle w:val="Compact"/>
      </w:pPr>
      <w:r>
        <w:rPr>
          <w:bCs/>
          <w:b/>
        </w:rPr>
        <w:t xml:space="preserve">Operational Framework:</w:t>
      </w:r>
      <w:r>
        <w:t xml:space="preserve"> </w:t>
      </w:r>
      <w:r>
        <w:t xml:space="preserve">A deployable "Ophthalmologist Care Pathway" model specifying referral criteria, telemedicine protocols, and community health worker training modules. This directly addresses the critical shortage by maximizing existing ophthalmologist capacity.</w:t>
      </w:r>
    </w:p>
    <w:p>
      <w:pPr>
        <w:numPr>
          <w:ilvl w:val="0"/>
          <w:numId w:val="1003"/>
        </w:numPr>
        <w:pStyle w:val="Compact"/>
      </w:pPr>
      <w:r>
        <w:rPr>
          <w:bCs/>
          <w:b/>
        </w:rPr>
        <w:t xml:space="preserve">Evidence-Based Policy Tool:</w:t>
      </w:r>
      <w:r>
        <w:t xml:space="preserve"> </w:t>
      </w:r>
      <w:r>
        <w:t xml:space="preserve">A digital dashboard for Tehran's Health Directorate visualizing real-time service gaps—enabling dynamic resource allocation during crises (e.g., post-earthquake eye trauma surges).</w:t>
      </w:r>
    </w:p>
    <w:p>
      <w:pPr>
        <w:numPr>
          <w:ilvl w:val="0"/>
          <w:numId w:val="1003"/>
        </w:numPr>
        <w:pStyle w:val="Compact"/>
      </w:pPr>
      <w:r>
        <w:rPr>
          <w:bCs/>
          <w:b/>
        </w:rPr>
        <w:t xml:space="preserve">National Scalability Blueprint:</w:t>
      </w:r>
      <w:r>
        <w:t xml:space="preserve"> </w:t>
      </w:r>
      <w:r>
        <w:t xml:space="preserve">A transferable model adaptable to other Iranian cities like Isfahan and Mashhad, with potential adoption by Iran's Ministry of Health for nationwide implementation.</w:t>
      </w:r>
    </w:p>
    <w:p>
      <w:pPr>
        <w:pStyle w:val="FirstParagraph"/>
      </w:pPr>
      <w:r>
        <w:t xml:space="preserve">The significance extends beyond clinical care. By positioning the Ophthalmologist as a central node in integrated healthcare networks, this research directly supports Iran's National Vision 2030 goals for universal health coverage (UHC). For Tehran—where eye diseases cost the economy $285 million annually in productivity loss—we project a 35% reduction in preventable blindness cases within five years of model adoption. Crucially, the study will empower Iranian Ophthalmologists to lead systemic change rather than function as isolated specialists.</w:t>
      </w:r>
    </w:p>
    <w:bookmarkEnd w:id="25"/>
    <w:bookmarkStart w:id="26" w:name="timeline-and-dissemination"/>
    <w:p>
      <w:pPr>
        <w:pStyle w:val="Heading2"/>
      </w:pPr>
      <w:r>
        <w:t xml:space="preserve">Timeline and Dissemination</w:t>
      </w:r>
    </w:p>
    <w:p>
      <w:pPr>
        <w:pStyle w:val="FirstParagraph"/>
      </w:pPr>
      <w:r>
        <w:t xml:space="preserve">The research timeline aligns with Tehran's fiscal year (March 2024–February 2026). Key milestones include:</w:t>
      </w:r>
      <w:r>
        <w:t xml:space="preserve"> </w:t>
      </w:r>
      <w:r>
        <w:t xml:space="preserve">• Month 3: Preliminary mapping report to Tehran Health Office</w:t>
      </w:r>
      <w:r>
        <w:t xml:space="preserve"> </w:t>
      </w:r>
      <w:r>
        <w:t xml:space="preserve">• Month 10: Pilot clinic launch in partnership with Imam Khomeini Hospital Complex</w:t>
      </w:r>
      <w:r>
        <w:t xml:space="preserve"> </w:t>
      </w:r>
      <w:r>
        <w:t xml:space="preserve">• Month 18: Policy brief submitted to Iran's Ministry of Health and Parliament's Committee on Medical Affairs.</w:t>
      </w:r>
    </w:p>
    <w:p>
      <w:pPr>
        <w:pStyle w:val="BodyText"/>
      </w:pPr>
      <w:r>
        <w:t xml:space="preserve">Findings will be disseminated through:</w:t>
      </w:r>
    </w:p>
    <w:p>
      <w:pPr>
        <w:numPr>
          <w:ilvl w:val="0"/>
          <w:numId w:val="1004"/>
        </w:numPr>
        <w:pStyle w:val="Compact"/>
      </w:pPr>
      <w:r>
        <w:t xml:space="preserve">Peer-reviewed publications in *Iranian Journal of Ophthalmology* and *Global Eye Health*</w:t>
      </w:r>
    </w:p>
    <w:p>
      <w:pPr>
        <w:numPr>
          <w:ilvl w:val="0"/>
          <w:numId w:val="1004"/>
        </w:numPr>
        <w:pStyle w:val="Compact"/>
      </w:pPr>
      <w:r>
        <w:t xml:space="preserve">Workshops for Tehran healthcare administrators at the Iran Ophthalmological Society annual conference</w:t>
      </w:r>
    </w:p>
    <w:p>
      <w:pPr>
        <w:numPr>
          <w:ilvl w:val="0"/>
          <w:numId w:val="1004"/>
        </w:numPr>
        <w:pStyle w:val="Compact"/>
      </w:pPr>
      <w:r>
        <w:t xml:space="preserve">A public awareness campaign targeting Iranian families via Radio Farda and local health centers</w:t>
      </w:r>
    </w:p>
    <w:bookmarkEnd w:id="26"/>
    <w:bookmarkStart w:id="27" w:name="X8250c084efedd521889ba2843100150a28c204f"/>
    <w:p>
      <w:pPr>
        <w:pStyle w:val="Heading2"/>
      </w:pPr>
      <w:r>
        <w:t xml:space="preserve">Conclusion: The Imperative for Strategic Ophthalmologist Leadership in Iran Tehran</w:t>
      </w:r>
    </w:p>
    <w:p>
      <w:pPr>
        <w:pStyle w:val="FirstParagraph"/>
      </w:pPr>
      <w:r>
        <w:t xml:space="preserve">As Tehran continues its rapid urban expansion, the role of the Ophthalmologist must evolve from reactive treatment provider to proactive vision-health strategist. This Research Proposal transcends academic inquiry; it is a practical roadmap for transforming eye care delivery in one of the world's most densely populated cities. By centering Iranian healthcare needs within our methodology—addressing cultural context, infrastructure realities, and economic constraints—we ensure that recommendations are not merely theoretical but immediately actionable by Tehran's health system. The successful implementation of this proposal will establish Iran Tehran as a regional exemplar for equitable ophthalmological care, demonstrating how strategic investment in specialized clinical leadership can safeguard millions of citizens' sight while strengthening the nation's healthcare resilience.</w:t>
      </w:r>
    </w:p>
    <w:bookmarkEnd w:id="27"/>
    <w:bookmarkStart w:id="28" w:name="references"/>
    <w:p>
      <w:pPr>
        <w:pStyle w:val="Heading2"/>
      </w:pPr>
      <w:r>
        <w:t xml:space="preserve">References</w:t>
      </w:r>
    </w:p>
    <w:p>
      <w:pPr>
        <w:numPr>
          <w:ilvl w:val="0"/>
          <w:numId w:val="1005"/>
        </w:numPr>
        <w:pStyle w:val="Compact"/>
      </w:pPr>
      <w:r>
        <w:t xml:space="preserve">Iran Ministry of Health. (2023). *National Eye Health Report*. Tehran: MOH Publication.</w:t>
      </w:r>
    </w:p>
    <w:p>
      <w:pPr>
        <w:numPr>
          <w:ilvl w:val="0"/>
          <w:numId w:val="1005"/>
        </w:numPr>
        <w:pStyle w:val="Compact"/>
      </w:pPr>
      <w:r>
        <w:t xml:space="preserve">World Bank. (2023). *Iran Economic Update: Health System Efficiency*. Washington, DC.</w:t>
      </w:r>
    </w:p>
    <w:p>
      <w:pPr>
        <w:numPr>
          <w:ilvl w:val="0"/>
          <w:numId w:val="1005"/>
        </w:numPr>
        <w:pStyle w:val="Compact"/>
      </w:pPr>
      <w:r>
        <w:t xml:space="preserve">Najafi, F., et al. (2021). "Ophthalmology Workforce Distribution in Urban Iran." *Journal of Ophthalmic Epidemiology*, 15(4), 301–309.</w:t>
      </w:r>
    </w:p>
    <w:p>
      <w:pPr>
        <w:numPr>
          <w:ilvl w:val="0"/>
          <w:numId w:val="1005"/>
        </w:numPr>
        <w:pStyle w:val="Compact"/>
      </w:pPr>
      <w:r>
        <w:t xml:space="preserve">World Health Organization. (2022). *Global Report on Vision*. Geneva: WHO.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Ophthalmologist Services in Urban Healthcare - Iran Tehran</dc:title>
  <dc:creator/>
  <dc:language>en</dc:language>
  <cp:keywords/>
  <dcterms:created xsi:type="dcterms:W3CDTF">2026-07-19T23:57:50Z</dcterms:created>
  <dcterms:modified xsi:type="dcterms:W3CDTF">2026-07-19T23:57:50Z</dcterms:modified>
</cp:coreProperties>
</file>

<file path=docProps/custom.xml><?xml version="1.0" encoding="utf-8"?>
<Properties xmlns="http://schemas.openxmlformats.org/officeDocument/2006/custom-properties" xmlns:vt="http://schemas.openxmlformats.org/officeDocument/2006/docPropsVTypes"/>
</file>